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7494" w14:textId="3D6630E4" w:rsidR="009F535B" w:rsidRPr="003A0611" w:rsidRDefault="009F535B" w:rsidP="003A0611">
      <w:pPr>
        <w:pBdr>
          <w:bottom w:val="single" w:sz="4" w:space="1" w:color="auto"/>
        </w:pBdr>
        <w:spacing w:before="120" w:after="120" w:line="264" w:lineRule="auto"/>
        <w:jc w:val="center"/>
        <w:rPr>
          <w:rFonts w:cstheme="minorHAnsi"/>
          <w:b/>
          <w:color w:val="2F5496" w:themeColor="accent5" w:themeShade="BF"/>
          <w:lang w:val="en-US"/>
        </w:rPr>
      </w:pPr>
      <w:r w:rsidRPr="003A0611">
        <w:rPr>
          <w:rFonts w:cstheme="minorHAnsi"/>
          <w:b/>
          <w:color w:val="2F5496" w:themeColor="accent5" w:themeShade="BF"/>
          <w:sz w:val="32"/>
        </w:rPr>
        <w:t>Terms of Reference</w:t>
      </w:r>
      <w:r w:rsidR="00EB6580">
        <w:rPr>
          <w:rFonts w:cstheme="minorHAnsi"/>
          <w:b/>
          <w:color w:val="2F5496" w:themeColor="accent5" w:themeShade="BF"/>
          <w:sz w:val="32"/>
        </w:rPr>
        <w:t xml:space="preserve">: </w:t>
      </w:r>
      <w:r w:rsidRPr="003A0611">
        <w:rPr>
          <w:rFonts w:cstheme="minorHAnsi"/>
          <w:b/>
          <w:color w:val="2F5496" w:themeColor="accent5" w:themeShade="BF"/>
          <w:sz w:val="32"/>
          <w:lang w:val="en-US"/>
        </w:rPr>
        <w:t>Consultan</w:t>
      </w:r>
      <w:r w:rsidR="001D09D7">
        <w:rPr>
          <w:rFonts w:cstheme="minorHAnsi"/>
          <w:b/>
          <w:color w:val="2F5496" w:themeColor="accent5" w:themeShade="BF"/>
          <w:sz w:val="32"/>
          <w:lang w:val="en-US"/>
        </w:rPr>
        <w:t>cy</w:t>
      </w:r>
      <w:r w:rsidRPr="003A0611">
        <w:rPr>
          <w:rFonts w:cstheme="minorHAnsi"/>
          <w:b/>
          <w:color w:val="2F5496" w:themeColor="accent5" w:themeShade="BF"/>
          <w:sz w:val="32"/>
          <w:lang w:val="en-US"/>
        </w:rPr>
        <w:t xml:space="preserve"> </w:t>
      </w:r>
      <w:r w:rsidR="00565414" w:rsidRPr="003A0611">
        <w:rPr>
          <w:rFonts w:cstheme="minorHAnsi"/>
          <w:b/>
          <w:color w:val="2F5496" w:themeColor="accent5" w:themeShade="BF"/>
          <w:sz w:val="32"/>
          <w:lang w:val="en-US"/>
        </w:rPr>
        <w:t xml:space="preserve">to </w:t>
      </w:r>
      <w:r w:rsidR="00EB6580">
        <w:rPr>
          <w:rFonts w:cstheme="minorHAnsi"/>
          <w:b/>
          <w:color w:val="2F5496" w:themeColor="accent5" w:themeShade="BF"/>
          <w:sz w:val="32"/>
          <w:lang w:val="en-US"/>
        </w:rPr>
        <w:t>support the Lao</w:t>
      </w:r>
      <w:r w:rsidR="006753E3">
        <w:rPr>
          <w:rFonts w:cstheme="minorHAnsi"/>
          <w:b/>
          <w:color w:val="2F5496" w:themeColor="accent5" w:themeShade="BF"/>
          <w:sz w:val="32"/>
          <w:lang w:val="en-US"/>
        </w:rPr>
        <w:t xml:space="preserve"> </w:t>
      </w:r>
      <w:r w:rsidR="00EB6580">
        <w:rPr>
          <w:rFonts w:cstheme="minorHAnsi"/>
          <w:b/>
          <w:color w:val="2F5496" w:themeColor="accent5" w:themeShade="BF"/>
          <w:sz w:val="32"/>
          <w:lang w:val="en-US"/>
        </w:rPr>
        <w:t>S</w:t>
      </w:r>
      <w:r w:rsidR="006753E3">
        <w:rPr>
          <w:rFonts w:cstheme="minorHAnsi"/>
          <w:b/>
          <w:color w:val="2F5496" w:themeColor="accent5" w:themeShade="BF"/>
          <w:sz w:val="32"/>
          <w:lang w:val="en-US"/>
        </w:rPr>
        <w:t xml:space="preserve">ocial </w:t>
      </w:r>
      <w:r w:rsidR="00EB6580">
        <w:rPr>
          <w:rFonts w:cstheme="minorHAnsi"/>
          <w:b/>
          <w:color w:val="2F5496" w:themeColor="accent5" w:themeShade="BF"/>
          <w:sz w:val="32"/>
          <w:lang w:val="en-US"/>
        </w:rPr>
        <w:t>S</w:t>
      </w:r>
      <w:r w:rsidR="006753E3">
        <w:rPr>
          <w:rFonts w:cstheme="minorHAnsi"/>
          <w:b/>
          <w:color w:val="2F5496" w:themeColor="accent5" w:themeShade="BF"/>
          <w:sz w:val="32"/>
          <w:lang w:val="en-US"/>
        </w:rPr>
        <w:t>ecurity</w:t>
      </w:r>
      <w:r w:rsidR="00EB6580">
        <w:rPr>
          <w:rFonts w:cstheme="minorHAnsi"/>
          <w:b/>
          <w:color w:val="2F5496" w:themeColor="accent5" w:themeShade="BF"/>
          <w:sz w:val="32"/>
          <w:lang w:val="en-US"/>
        </w:rPr>
        <w:t xml:space="preserve"> Organization to strengthen investments</w:t>
      </w:r>
      <w:r w:rsidR="006753E3">
        <w:rPr>
          <w:rFonts w:cstheme="minorHAnsi"/>
          <w:b/>
          <w:color w:val="2F5496" w:themeColor="accent5" w:themeShade="BF"/>
          <w:sz w:val="32"/>
          <w:lang w:val="en-US"/>
        </w:rPr>
        <w:t xml:space="preserve"> </w:t>
      </w:r>
    </w:p>
    <w:p w14:paraId="5CA733C5" w14:textId="75B85408" w:rsidR="009F535B" w:rsidRDefault="009F535B" w:rsidP="003A0611">
      <w:pPr>
        <w:tabs>
          <w:tab w:val="left" w:pos="3260"/>
        </w:tabs>
        <w:spacing w:before="120" w:after="120" w:line="264" w:lineRule="auto"/>
        <w:jc w:val="both"/>
        <w:rPr>
          <w:rFonts w:eastAsia="Times New Roman" w:cstheme="minorHAnsi"/>
          <w:b/>
          <w:color w:val="2F5496" w:themeColor="accent5" w:themeShade="BF"/>
          <w:sz w:val="24"/>
          <w:lang w:val="en-IN" w:eastAsia="en-GB"/>
        </w:rPr>
      </w:pPr>
    </w:p>
    <w:p w14:paraId="36AF8B34" w14:textId="3A7045CA" w:rsidR="001D09D7" w:rsidRDefault="001D09D7" w:rsidP="001D09D7">
      <w:pPr>
        <w:spacing w:before="120" w:after="120" w:line="264" w:lineRule="auto"/>
        <w:jc w:val="both"/>
        <w:rPr>
          <w:color w:val="FF0000"/>
          <w:sz w:val="24"/>
          <w:szCs w:val="36"/>
        </w:rPr>
      </w:pPr>
      <w:r>
        <w:rPr>
          <w:rFonts w:eastAsiaTheme="minorEastAsia"/>
          <w:color w:val="FF0000"/>
          <w:sz w:val="24"/>
          <w:szCs w:val="36"/>
          <w:lang w:eastAsia="zh-CN"/>
        </w:rPr>
        <w:t xml:space="preserve">The </w:t>
      </w:r>
      <w:r>
        <w:rPr>
          <w:rFonts w:eastAsiaTheme="minorEastAsia" w:hint="eastAsia"/>
          <w:color w:val="FF0000"/>
          <w:sz w:val="24"/>
          <w:szCs w:val="36"/>
          <w:lang w:eastAsia="zh-CN"/>
        </w:rPr>
        <w:t>International Labour Organization (</w:t>
      </w:r>
      <w:r w:rsidRPr="00AC401F">
        <w:rPr>
          <w:color w:val="FF0000"/>
          <w:sz w:val="24"/>
          <w:szCs w:val="36"/>
        </w:rPr>
        <w:t>ILO</w:t>
      </w:r>
      <w:r>
        <w:rPr>
          <w:rFonts w:eastAsiaTheme="minorEastAsia" w:hint="eastAsia"/>
          <w:color w:val="FF0000"/>
          <w:sz w:val="24"/>
          <w:szCs w:val="36"/>
          <w:lang w:eastAsia="zh-CN"/>
        </w:rPr>
        <w:t>)</w:t>
      </w:r>
      <w:r w:rsidRPr="00AC401F">
        <w:rPr>
          <w:color w:val="FF0000"/>
          <w:sz w:val="24"/>
          <w:szCs w:val="36"/>
        </w:rPr>
        <w:t xml:space="preserve"> is looking for a</w:t>
      </w:r>
      <w:r>
        <w:rPr>
          <w:color w:val="FF0000"/>
          <w:sz w:val="24"/>
          <w:szCs w:val="36"/>
        </w:rPr>
        <w:t xml:space="preserve"> consultant to </w:t>
      </w:r>
      <w:r>
        <w:rPr>
          <w:color w:val="FF0000"/>
          <w:sz w:val="24"/>
          <w:szCs w:val="36"/>
        </w:rPr>
        <w:t>f</w:t>
      </w:r>
      <w:r w:rsidRPr="001D09D7">
        <w:rPr>
          <w:color w:val="FF0000"/>
          <w:sz w:val="24"/>
          <w:szCs w:val="36"/>
        </w:rPr>
        <w:t xml:space="preserve">ormulate an Investment Diversification Strategy </w:t>
      </w:r>
      <w:r>
        <w:rPr>
          <w:color w:val="FF0000"/>
          <w:sz w:val="24"/>
          <w:szCs w:val="36"/>
        </w:rPr>
        <w:t>and I</w:t>
      </w:r>
      <w:r w:rsidRPr="001D09D7">
        <w:rPr>
          <w:color w:val="FF0000"/>
          <w:sz w:val="24"/>
          <w:szCs w:val="36"/>
        </w:rPr>
        <w:t xml:space="preserve">nvestment </w:t>
      </w:r>
      <w:r>
        <w:rPr>
          <w:color w:val="FF0000"/>
          <w:sz w:val="24"/>
          <w:szCs w:val="36"/>
        </w:rPr>
        <w:t>G</w:t>
      </w:r>
      <w:r w:rsidRPr="001D09D7">
        <w:rPr>
          <w:color w:val="FF0000"/>
          <w:sz w:val="24"/>
          <w:szCs w:val="36"/>
        </w:rPr>
        <w:t xml:space="preserve">overnance </w:t>
      </w:r>
      <w:r>
        <w:rPr>
          <w:color w:val="FF0000"/>
          <w:sz w:val="24"/>
          <w:szCs w:val="36"/>
        </w:rPr>
        <w:t>M</w:t>
      </w:r>
      <w:r w:rsidRPr="001D09D7">
        <w:rPr>
          <w:color w:val="FF0000"/>
          <w:sz w:val="24"/>
          <w:szCs w:val="36"/>
        </w:rPr>
        <w:t xml:space="preserve">odel for </w:t>
      </w:r>
      <w:r>
        <w:rPr>
          <w:color w:val="FF0000"/>
          <w:sz w:val="24"/>
          <w:szCs w:val="36"/>
        </w:rPr>
        <w:t>the Lao Social Security Organisation</w:t>
      </w:r>
      <w:r>
        <w:rPr>
          <w:color w:val="FF0000"/>
          <w:sz w:val="24"/>
          <w:szCs w:val="36"/>
        </w:rPr>
        <w:t xml:space="preserve">. Please send your CVs and financial quotation to </w:t>
      </w:r>
      <w:hyperlink r:id="rId8" w:history="1">
        <w:r w:rsidRPr="00A7454B">
          <w:rPr>
            <w:rStyle w:val="Hyperlink"/>
            <w:rFonts w:cs="Cordia New"/>
            <w:sz w:val="24"/>
            <w:szCs w:val="36"/>
          </w:rPr>
          <w:t>thongleck@ilo.org</w:t>
        </w:r>
      </w:hyperlink>
      <w:r>
        <w:rPr>
          <w:color w:val="FF0000"/>
          <w:sz w:val="24"/>
          <w:szCs w:val="36"/>
        </w:rPr>
        <w:t xml:space="preserve"> and </w:t>
      </w:r>
      <w:hyperlink r:id="rId9" w:history="1">
        <w:r w:rsidRPr="00A7454B">
          <w:rPr>
            <w:rStyle w:val="Hyperlink"/>
            <w:rFonts w:cs="Cordia New"/>
            <w:sz w:val="24"/>
            <w:szCs w:val="36"/>
          </w:rPr>
          <w:t>del@ilo.org</w:t>
        </w:r>
      </w:hyperlink>
      <w:r>
        <w:rPr>
          <w:color w:val="FF0000"/>
          <w:sz w:val="24"/>
          <w:szCs w:val="36"/>
        </w:rPr>
        <w:t xml:space="preserve"> by </w:t>
      </w:r>
      <w:r>
        <w:rPr>
          <w:color w:val="FF0000"/>
          <w:sz w:val="24"/>
          <w:szCs w:val="36"/>
        </w:rPr>
        <w:t>20</w:t>
      </w:r>
      <w:r>
        <w:rPr>
          <w:color w:val="FF0000"/>
          <w:sz w:val="24"/>
          <w:szCs w:val="36"/>
        </w:rPr>
        <w:t xml:space="preserve"> August 2024.</w:t>
      </w:r>
    </w:p>
    <w:p w14:paraId="3B7C9D69" w14:textId="77777777" w:rsidR="001D09D7" w:rsidRPr="003A0611" w:rsidRDefault="001D09D7" w:rsidP="003A0611">
      <w:pPr>
        <w:tabs>
          <w:tab w:val="left" w:pos="3260"/>
        </w:tabs>
        <w:spacing w:before="120" w:after="120" w:line="264" w:lineRule="auto"/>
        <w:jc w:val="both"/>
        <w:rPr>
          <w:rFonts w:eastAsia="Times New Roman" w:cstheme="minorHAnsi"/>
          <w:b/>
          <w:color w:val="2F5496" w:themeColor="accent5" w:themeShade="BF"/>
          <w:sz w:val="24"/>
          <w:lang w:val="en-IN" w:eastAsia="en-GB"/>
        </w:rPr>
      </w:pPr>
    </w:p>
    <w:p w14:paraId="1579FCE3" w14:textId="23A2E7CE" w:rsidR="009F535B" w:rsidRPr="003A0611" w:rsidRDefault="008736F2" w:rsidP="003A0611">
      <w:pPr>
        <w:tabs>
          <w:tab w:val="left" w:pos="3260"/>
        </w:tabs>
        <w:spacing w:before="120" w:after="120" w:line="264" w:lineRule="auto"/>
        <w:jc w:val="both"/>
        <w:rPr>
          <w:rFonts w:eastAsia="Times New Roman" w:cstheme="minorHAnsi"/>
          <w:b/>
          <w:color w:val="2F5496" w:themeColor="accent5" w:themeShade="BF"/>
          <w:sz w:val="24"/>
          <w:lang w:val="en-IN" w:eastAsia="en-GB"/>
        </w:rPr>
      </w:pPr>
      <w:r>
        <w:rPr>
          <w:rFonts w:eastAsia="Times New Roman" w:cstheme="minorHAnsi"/>
          <w:b/>
          <w:color w:val="2F5496" w:themeColor="accent5" w:themeShade="BF"/>
          <w:sz w:val="24"/>
          <w:lang w:val="en-IN" w:eastAsia="en-GB"/>
        </w:rPr>
        <w:t>Project b</w:t>
      </w:r>
      <w:r w:rsidR="009F535B" w:rsidRPr="003A0611">
        <w:rPr>
          <w:rFonts w:eastAsia="Times New Roman" w:cstheme="minorHAnsi"/>
          <w:b/>
          <w:color w:val="2F5496" w:themeColor="accent5" w:themeShade="BF"/>
          <w:sz w:val="24"/>
          <w:lang w:val="en-IN" w:eastAsia="en-GB"/>
        </w:rPr>
        <w:t>ackground</w:t>
      </w:r>
    </w:p>
    <w:p w14:paraId="41AF1F35" w14:textId="43C6D2E3" w:rsidR="00963C9F" w:rsidRDefault="004303D0" w:rsidP="00963C9F">
      <w:pPr>
        <w:spacing w:before="120" w:after="120" w:line="264" w:lineRule="auto"/>
        <w:jc w:val="both"/>
        <w:rPr>
          <w:rFonts w:cstheme="minorHAnsi"/>
          <w:szCs w:val="20"/>
        </w:rPr>
      </w:pPr>
      <w:r w:rsidRPr="004303D0">
        <w:rPr>
          <w:rFonts w:cstheme="minorHAnsi"/>
          <w:szCs w:val="20"/>
        </w:rPr>
        <w:t>The ILO-UNDESA Project “Accelerating Universal Social Protection for Achieving the SDGs and Ending Poverty through Strengthened Governance and Digital Transformation” aims to accelerate progress towards universal social protection through strengthening of policy design, administrative and financial governance, and digital transformation of social protection systems as well as to encourage learning between countries in the Global South.</w:t>
      </w:r>
      <w:r>
        <w:rPr>
          <w:rFonts w:cstheme="minorHAnsi"/>
          <w:szCs w:val="20"/>
        </w:rPr>
        <w:t xml:space="preserve"> </w:t>
      </w:r>
      <w:r w:rsidRPr="004303D0">
        <w:rPr>
          <w:rFonts w:cstheme="minorHAnsi"/>
          <w:szCs w:val="20"/>
        </w:rPr>
        <w:t xml:space="preserve">The project supports the Government of Lao </w:t>
      </w:r>
      <w:r w:rsidR="005067A4">
        <w:rPr>
          <w:rFonts w:cstheme="minorHAnsi"/>
          <w:szCs w:val="20"/>
        </w:rPr>
        <w:t>PDR</w:t>
      </w:r>
      <w:r w:rsidRPr="004303D0">
        <w:rPr>
          <w:rFonts w:cstheme="minorHAnsi"/>
          <w:szCs w:val="20"/>
        </w:rPr>
        <w:t>, especially the Lao Social Security Organisation</w:t>
      </w:r>
      <w:r w:rsidR="005067A4">
        <w:rPr>
          <w:rFonts w:cstheme="minorHAnsi"/>
          <w:szCs w:val="20"/>
        </w:rPr>
        <w:t xml:space="preserve"> (LSSO)</w:t>
      </w:r>
      <w:r w:rsidR="006A5B35">
        <w:rPr>
          <w:rFonts w:cstheme="minorHAnsi"/>
          <w:szCs w:val="20"/>
        </w:rPr>
        <w:t>,</w:t>
      </w:r>
      <w:r w:rsidRPr="004303D0">
        <w:rPr>
          <w:rFonts w:cstheme="minorHAnsi"/>
          <w:szCs w:val="20"/>
        </w:rPr>
        <w:t xml:space="preserve"> to strengthen the design and financing of the social security system and expand its coverage.</w:t>
      </w:r>
      <w:r w:rsidR="00963C9F">
        <w:rPr>
          <w:rFonts w:cstheme="minorHAnsi"/>
          <w:szCs w:val="20"/>
        </w:rPr>
        <w:t xml:space="preserve"> </w:t>
      </w:r>
      <w:r w:rsidR="006A5B35">
        <w:rPr>
          <w:rFonts w:cstheme="minorHAnsi"/>
          <w:szCs w:val="20"/>
        </w:rPr>
        <w:t xml:space="preserve">Under </w:t>
      </w:r>
      <w:r w:rsidR="00963C9F" w:rsidRPr="00963C9F">
        <w:rPr>
          <w:rFonts w:cstheme="minorHAnsi"/>
          <w:szCs w:val="20"/>
        </w:rPr>
        <w:t>Output 1.</w:t>
      </w:r>
      <w:r w:rsidR="00963C9F">
        <w:rPr>
          <w:rFonts w:cstheme="minorHAnsi"/>
          <w:szCs w:val="20"/>
        </w:rPr>
        <w:t>4 of the project is “C</w:t>
      </w:r>
      <w:r w:rsidR="00963C9F" w:rsidRPr="00963C9F">
        <w:rPr>
          <w:rFonts w:cstheme="minorHAnsi"/>
          <w:szCs w:val="20"/>
        </w:rPr>
        <w:t>apacity building and technical assistance provided for sustainable financing and investment of the National Social Security Fund</w:t>
      </w:r>
      <w:r w:rsidR="00963C9F">
        <w:rPr>
          <w:rFonts w:cstheme="minorHAnsi"/>
          <w:szCs w:val="20"/>
        </w:rPr>
        <w:t xml:space="preserve">”, </w:t>
      </w:r>
      <w:r w:rsidR="00963C9F" w:rsidRPr="00963C9F">
        <w:rPr>
          <w:rFonts w:cstheme="minorHAnsi"/>
          <w:szCs w:val="20"/>
        </w:rPr>
        <w:t>Activity 1.4.1</w:t>
      </w:r>
      <w:r w:rsidR="00963C9F">
        <w:rPr>
          <w:rFonts w:cstheme="minorHAnsi"/>
          <w:szCs w:val="20"/>
        </w:rPr>
        <w:t xml:space="preserve"> is to conduct a</w:t>
      </w:r>
      <w:r w:rsidR="00AC7A11">
        <w:rPr>
          <w:rFonts w:cstheme="minorHAnsi"/>
          <w:szCs w:val="20"/>
        </w:rPr>
        <w:t xml:space="preserve"> “</w:t>
      </w:r>
      <w:r w:rsidR="00963C9F" w:rsidRPr="00963C9F">
        <w:rPr>
          <w:rFonts w:cstheme="minorHAnsi"/>
          <w:szCs w:val="20"/>
        </w:rPr>
        <w:t>Technical study on social security investment governance and fund management</w:t>
      </w:r>
      <w:r w:rsidR="00963C9F">
        <w:rPr>
          <w:rFonts w:cstheme="minorHAnsi"/>
          <w:szCs w:val="20"/>
        </w:rPr>
        <w:t>”.</w:t>
      </w:r>
    </w:p>
    <w:p w14:paraId="23A6516F" w14:textId="7B726A4E" w:rsidR="00AC7A11" w:rsidRDefault="005067A4" w:rsidP="005067A4">
      <w:pPr>
        <w:spacing w:before="120" w:after="120" w:line="264" w:lineRule="auto"/>
        <w:jc w:val="both"/>
        <w:rPr>
          <w:rFonts w:cstheme="minorHAnsi"/>
          <w:szCs w:val="20"/>
        </w:rPr>
      </w:pPr>
      <w:r>
        <w:rPr>
          <w:rFonts w:cstheme="minorHAnsi"/>
          <w:szCs w:val="20"/>
        </w:rPr>
        <w:t xml:space="preserve">As part of </w:t>
      </w:r>
      <w:r w:rsidRPr="005067A4">
        <w:rPr>
          <w:rFonts w:cstheme="minorHAnsi"/>
          <w:szCs w:val="20"/>
        </w:rPr>
        <w:t>Activity 1.4.2</w:t>
      </w:r>
      <w:r>
        <w:rPr>
          <w:rFonts w:cstheme="minorHAnsi"/>
          <w:szCs w:val="20"/>
        </w:rPr>
        <w:t>:</w:t>
      </w:r>
      <w:r w:rsidRPr="005067A4">
        <w:rPr>
          <w:rFonts w:cstheme="minorHAnsi"/>
          <w:szCs w:val="20"/>
        </w:rPr>
        <w:tab/>
      </w:r>
      <w:r>
        <w:rPr>
          <w:rFonts w:cstheme="minorHAnsi"/>
          <w:szCs w:val="20"/>
        </w:rPr>
        <w:t>“</w:t>
      </w:r>
      <w:r w:rsidRPr="005067A4">
        <w:rPr>
          <w:rFonts w:cstheme="minorHAnsi"/>
          <w:szCs w:val="20"/>
        </w:rPr>
        <w:t>Training provided to LSSO officials to enhance their knowledge and planning capacities</w:t>
      </w:r>
      <w:r>
        <w:rPr>
          <w:rFonts w:cstheme="minorHAnsi"/>
          <w:szCs w:val="20"/>
        </w:rPr>
        <w:t xml:space="preserve"> on </w:t>
      </w:r>
      <w:r w:rsidRPr="004303D0">
        <w:rPr>
          <w:rFonts w:cstheme="minorHAnsi"/>
          <w:szCs w:val="20"/>
        </w:rPr>
        <w:t xml:space="preserve">social security </w:t>
      </w:r>
      <w:r w:rsidRPr="00963C9F">
        <w:rPr>
          <w:rFonts w:cstheme="minorHAnsi"/>
          <w:szCs w:val="20"/>
        </w:rPr>
        <w:t>investment</w:t>
      </w:r>
      <w:r>
        <w:rPr>
          <w:rFonts w:cstheme="minorHAnsi"/>
          <w:szCs w:val="20"/>
        </w:rPr>
        <w:t xml:space="preserve">s”, ILO supported 2 LSSO officials to participate in the </w:t>
      </w:r>
      <w:r w:rsidRPr="00AC7A11">
        <w:rPr>
          <w:rFonts w:cstheme="minorHAnsi"/>
          <w:szCs w:val="20"/>
        </w:rPr>
        <w:t>ITC</w:t>
      </w:r>
      <w:r>
        <w:rPr>
          <w:rFonts w:cstheme="minorHAnsi"/>
          <w:szCs w:val="20"/>
        </w:rPr>
        <w:t>–</w:t>
      </w:r>
      <w:r w:rsidRPr="00AC7A11">
        <w:rPr>
          <w:rFonts w:cstheme="minorHAnsi"/>
          <w:szCs w:val="20"/>
        </w:rPr>
        <w:t>ILO</w:t>
      </w:r>
      <w:r>
        <w:rPr>
          <w:rFonts w:cstheme="minorHAnsi"/>
          <w:szCs w:val="20"/>
        </w:rPr>
        <w:t xml:space="preserve"> course</w:t>
      </w:r>
      <w:r w:rsidRPr="005067A4">
        <w:rPr>
          <w:rFonts w:cstheme="minorHAnsi"/>
          <w:szCs w:val="20"/>
        </w:rPr>
        <w:t xml:space="preserve"> </w:t>
      </w:r>
      <w:r w:rsidRPr="00AC7A11">
        <w:rPr>
          <w:rFonts w:cstheme="minorHAnsi"/>
          <w:szCs w:val="20"/>
        </w:rPr>
        <w:t>on “</w:t>
      </w:r>
      <w:r>
        <w:rPr>
          <w:rFonts w:cstheme="minorHAnsi"/>
          <w:szCs w:val="20"/>
        </w:rPr>
        <w:t xml:space="preserve">ISSA Guidelines on </w:t>
      </w:r>
      <w:r w:rsidRPr="00AC7A11">
        <w:rPr>
          <w:rFonts w:cstheme="minorHAnsi"/>
          <w:szCs w:val="20"/>
        </w:rPr>
        <w:t xml:space="preserve">Investment of Social Security Funds” </w:t>
      </w:r>
      <w:r>
        <w:rPr>
          <w:rFonts w:cstheme="minorHAnsi"/>
          <w:szCs w:val="20"/>
        </w:rPr>
        <w:t xml:space="preserve">in </w:t>
      </w:r>
      <w:r w:rsidRPr="00AC7A11">
        <w:rPr>
          <w:rFonts w:cstheme="minorHAnsi"/>
          <w:szCs w:val="20"/>
        </w:rPr>
        <w:t>May 2024.</w:t>
      </w:r>
      <w:r>
        <w:rPr>
          <w:rFonts w:cstheme="minorHAnsi"/>
          <w:szCs w:val="20"/>
        </w:rPr>
        <w:t xml:space="preserve"> </w:t>
      </w:r>
      <w:r w:rsidR="00AC7A11" w:rsidRPr="00AC7A11">
        <w:rPr>
          <w:rFonts w:cstheme="minorHAnsi"/>
          <w:szCs w:val="20"/>
        </w:rPr>
        <w:t xml:space="preserve">The </w:t>
      </w:r>
      <w:r w:rsidRPr="00AC7A11">
        <w:rPr>
          <w:rFonts w:cstheme="minorHAnsi"/>
          <w:szCs w:val="20"/>
        </w:rPr>
        <w:t xml:space="preserve">course </w:t>
      </w:r>
      <w:r>
        <w:rPr>
          <w:rFonts w:cstheme="minorHAnsi"/>
          <w:szCs w:val="20"/>
        </w:rPr>
        <w:t>aimed for</w:t>
      </w:r>
      <w:r w:rsidR="00AC7A11" w:rsidRPr="00AC7A11">
        <w:rPr>
          <w:rFonts w:cstheme="minorHAnsi"/>
          <w:szCs w:val="20"/>
        </w:rPr>
        <w:t xml:space="preserve"> them to learn how to implement well-organized and effective investment processes that can respond to economic, demographic, political, and management pressures</w:t>
      </w:r>
      <w:r>
        <w:rPr>
          <w:rFonts w:cstheme="minorHAnsi"/>
          <w:szCs w:val="20"/>
        </w:rPr>
        <w:t>;</w:t>
      </w:r>
      <w:r w:rsidR="00AC7A11" w:rsidRPr="00AC7A11">
        <w:rPr>
          <w:rFonts w:cstheme="minorHAnsi"/>
          <w:szCs w:val="20"/>
        </w:rPr>
        <w:t xml:space="preserve"> </w:t>
      </w:r>
      <w:r>
        <w:rPr>
          <w:rFonts w:cstheme="minorHAnsi"/>
          <w:szCs w:val="20"/>
        </w:rPr>
        <w:t xml:space="preserve">understand </w:t>
      </w:r>
      <w:r w:rsidR="00AC7A11" w:rsidRPr="00AC7A11">
        <w:rPr>
          <w:rFonts w:cstheme="minorHAnsi"/>
          <w:szCs w:val="20"/>
        </w:rPr>
        <w:t>core approaches to improve investment of reserve funds based on international best practice</w:t>
      </w:r>
      <w:r>
        <w:rPr>
          <w:rFonts w:cstheme="minorHAnsi"/>
          <w:szCs w:val="20"/>
        </w:rPr>
        <w:t>;</w:t>
      </w:r>
      <w:r w:rsidR="00AC7A11" w:rsidRPr="00AC7A11">
        <w:rPr>
          <w:rFonts w:cstheme="minorHAnsi"/>
          <w:szCs w:val="20"/>
        </w:rPr>
        <w:t xml:space="preserve"> identify roles and responsibilities in investment governance and management, utilise the ISSA Guidelines as a framework for planning and implementing effective investment processes</w:t>
      </w:r>
      <w:r>
        <w:rPr>
          <w:rFonts w:cstheme="minorHAnsi"/>
          <w:szCs w:val="20"/>
        </w:rPr>
        <w:t>;</w:t>
      </w:r>
      <w:r w:rsidR="00AC7A11" w:rsidRPr="00AC7A11">
        <w:rPr>
          <w:rFonts w:cstheme="minorHAnsi"/>
          <w:szCs w:val="20"/>
        </w:rPr>
        <w:t xml:space="preserve"> and develop country-tailored innovations drawing on experience from other countries. </w:t>
      </w:r>
    </w:p>
    <w:p w14:paraId="6F651B4F" w14:textId="7B54807E" w:rsidR="005067A4" w:rsidRPr="00AC7A11" w:rsidRDefault="005067A4" w:rsidP="008736F2">
      <w:pPr>
        <w:spacing w:before="120" w:after="120" w:line="264" w:lineRule="auto"/>
        <w:jc w:val="both"/>
        <w:rPr>
          <w:rFonts w:cstheme="minorHAnsi"/>
          <w:szCs w:val="20"/>
        </w:rPr>
      </w:pPr>
      <w:r>
        <w:rPr>
          <w:rFonts w:cstheme="minorHAnsi"/>
          <w:szCs w:val="20"/>
        </w:rPr>
        <w:t xml:space="preserve">Under the </w:t>
      </w:r>
      <w:r w:rsidRPr="005067A4">
        <w:rPr>
          <w:rFonts w:cstheme="minorHAnsi"/>
          <w:szCs w:val="20"/>
        </w:rPr>
        <w:t>ILO/Korea Partnership Programme “Supporting the Implementation of Sustainable Social Protection Floors for Workers and their Families in ASEAN – Phase III”</w:t>
      </w:r>
      <w:r w:rsidR="00F552EE">
        <w:rPr>
          <w:rFonts w:cstheme="minorHAnsi"/>
          <w:szCs w:val="20"/>
        </w:rPr>
        <w:t>, ILO and UNDP</w:t>
      </w:r>
      <w:r>
        <w:rPr>
          <w:rFonts w:cstheme="minorHAnsi"/>
          <w:szCs w:val="20"/>
        </w:rPr>
        <w:t xml:space="preserve"> collaborat</w:t>
      </w:r>
      <w:r w:rsidR="00F552EE">
        <w:rPr>
          <w:rFonts w:cstheme="minorHAnsi"/>
          <w:szCs w:val="20"/>
        </w:rPr>
        <w:t>ed</w:t>
      </w:r>
      <w:r>
        <w:rPr>
          <w:rFonts w:cstheme="minorHAnsi"/>
          <w:szCs w:val="20"/>
        </w:rPr>
        <w:t xml:space="preserve"> </w:t>
      </w:r>
      <w:r w:rsidR="00F552EE">
        <w:rPr>
          <w:rFonts w:cstheme="minorHAnsi"/>
          <w:szCs w:val="20"/>
        </w:rPr>
        <w:t>to</w:t>
      </w:r>
      <w:r>
        <w:rPr>
          <w:rFonts w:cstheme="minorHAnsi"/>
          <w:szCs w:val="20"/>
        </w:rPr>
        <w:t xml:space="preserve"> organize</w:t>
      </w:r>
      <w:r w:rsidR="00F552EE">
        <w:rPr>
          <w:rFonts w:cstheme="minorHAnsi"/>
          <w:szCs w:val="20"/>
        </w:rPr>
        <w:t xml:space="preserve"> </w:t>
      </w:r>
      <w:r>
        <w:rPr>
          <w:rFonts w:cstheme="minorHAnsi"/>
          <w:szCs w:val="20"/>
        </w:rPr>
        <w:t>a peer-to-peer exchange between LSSO and the Maldives Pension Administration Office</w:t>
      </w:r>
      <w:r w:rsidR="008736F2">
        <w:rPr>
          <w:rFonts w:cstheme="minorHAnsi"/>
          <w:szCs w:val="20"/>
        </w:rPr>
        <w:t xml:space="preserve"> (MPAO)</w:t>
      </w:r>
      <w:r>
        <w:rPr>
          <w:rFonts w:cstheme="minorHAnsi"/>
          <w:szCs w:val="20"/>
        </w:rPr>
        <w:t xml:space="preserve">. </w:t>
      </w:r>
      <w:r w:rsidR="00180B10">
        <w:rPr>
          <w:rFonts w:cstheme="minorHAnsi"/>
          <w:szCs w:val="20"/>
        </w:rPr>
        <w:t xml:space="preserve">LSSO officials learned from </w:t>
      </w:r>
      <w:r w:rsidR="008736F2">
        <w:rPr>
          <w:rFonts w:cstheme="minorHAnsi"/>
          <w:szCs w:val="20"/>
        </w:rPr>
        <w:t xml:space="preserve">the </w:t>
      </w:r>
      <w:r w:rsidR="00180B10">
        <w:rPr>
          <w:rFonts w:cstheme="minorHAnsi"/>
          <w:szCs w:val="20"/>
        </w:rPr>
        <w:t xml:space="preserve">Maldives </w:t>
      </w:r>
      <w:r w:rsidR="008736F2">
        <w:rPr>
          <w:rFonts w:cstheme="minorHAnsi"/>
          <w:szCs w:val="20"/>
        </w:rPr>
        <w:t xml:space="preserve">experience </w:t>
      </w:r>
      <w:r w:rsidR="00180B10">
        <w:rPr>
          <w:rFonts w:cstheme="minorHAnsi"/>
          <w:szCs w:val="20"/>
        </w:rPr>
        <w:t>on how to d</w:t>
      </w:r>
      <w:r w:rsidR="00180B10" w:rsidRPr="00180B10">
        <w:rPr>
          <w:rFonts w:cstheme="minorHAnsi"/>
          <w:szCs w:val="20"/>
        </w:rPr>
        <w:t>evelop investment capacities for social security funds</w:t>
      </w:r>
      <w:r>
        <w:rPr>
          <w:rFonts w:cstheme="minorHAnsi"/>
          <w:szCs w:val="20"/>
        </w:rPr>
        <w:t>.</w:t>
      </w:r>
      <w:r w:rsidR="008736F2">
        <w:rPr>
          <w:rFonts w:cstheme="minorHAnsi"/>
          <w:szCs w:val="20"/>
        </w:rPr>
        <w:t xml:space="preserve"> The topics discussed included an o</w:t>
      </w:r>
      <w:r w:rsidR="008736F2" w:rsidRPr="008736F2">
        <w:rPr>
          <w:rFonts w:cstheme="minorHAnsi"/>
          <w:szCs w:val="20"/>
        </w:rPr>
        <w:t>verview of investment principles and portfolios</w:t>
      </w:r>
      <w:r w:rsidR="008736F2">
        <w:rPr>
          <w:rFonts w:cstheme="minorHAnsi"/>
          <w:szCs w:val="20"/>
        </w:rPr>
        <w:t>, d</w:t>
      </w:r>
      <w:r w:rsidR="008736F2" w:rsidRPr="008736F2">
        <w:rPr>
          <w:rFonts w:cstheme="minorHAnsi"/>
          <w:szCs w:val="20"/>
        </w:rPr>
        <w:t>evelopment of investment expertise</w:t>
      </w:r>
      <w:r w:rsidR="008736F2">
        <w:rPr>
          <w:rFonts w:cstheme="minorHAnsi"/>
          <w:szCs w:val="20"/>
        </w:rPr>
        <w:t>, p</w:t>
      </w:r>
      <w:r w:rsidR="008736F2" w:rsidRPr="008736F2">
        <w:rPr>
          <w:rFonts w:cstheme="minorHAnsi"/>
          <w:szCs w:val="20"/>
        </w:rPr>
        <w:t>ractical challenges in expanding investments in markets with low levels of capital and financial market development</w:t>
      </w:r>
      <w:r w:rsidR="008736F2">
        <w:rPr>
          <w:rFonts w:cstheme="minorHAnsi"/>
          <w:szCs w:val="20"/>
        </w:rPr>
        <w:t>, i</w:t>
      </w:r>
      <w:r w:rsidR="008736F2" w:rsidRPr="008736F2">
        <w:rPr>
          <w:rFonts w:cstheme="minorHAnsi"/>
          <w:szCs w:val="20"/>
        </w:rPr>
        <w:t xml:space="preserve">nvestment expansion initiatives launched by </w:t>
      </w:r>
      <w:r w:rsidR="008736F2">
        <w:rPr>
          <w:rFonts w:cstheme="minorHAnsi"/>
          <w:szCs w:val="20"/>
        </w:rPr>
        <w:t>MPAO, and g</w:t>
      </w:r>
      <w:r w:rsidR="008736F2" w:rsidRPr="008736F2">
        <w:rPr>
          <w:rFonts w:cstheme="minorHAnsi"/>
          <w:szCs w:val="20"/>
        </w:rPr>
        <w:t>eneral recommendations for diversification from bank deposits</w:t>
      </w:r>
      <w:r w:rsidR="008736F2">
        <w:rPr>
          <w:rFonts w:cstheme="minorHAnsi"/>
          <w:szCs w:val="20"/>
        </w:rPr>
        <w:t>.</w:t>
      </w:r>
    </w:p>
    <w:p w14:paraId="3E8ECCB1" w14:textId="77777777" w:rsidR="00AC7A11" w:rsidRPr="00AC7A11" w:rsidRDefault="00AC7A11" w:rsidP="00AC7A11">
      <w:pPr>
        <w:spacing w:before="120" w:after="120" w:line="264" w:lineRule="auto"/>
        <w:jc w:val="both"/>
        <w:rPr>
          <w:rFonts w:cstheme="minorHAnsi"/>
          <w:szCs w:val="20"/>
        </w:rPr>
      </w:pPr>
    </w:p>
    <w:p w14:paraId="53A19EC3" w14:textId="2EB827E9" w:rsidR="00AC7A11" w:rsidRPr="00AC7A11" w:rsidRDefault="00AC7A11" w:rsidP="00C42C94">
      <w:pPr>
        <w:keepNext/>
        <w:keepLines/>
        <w:tabs>
          <w:tab w:val="left" w:pos="3260"/>
        </w:tabs>
        <w:spacing w:before="120" w:after="120" w:line="264" w:lineRule="auto"/>
        <w:jc w:val="both"/>
        <w:rPr>
          <w:rFonts w:eastAsia="Times New Roman" w:cstheme="minorHAnsi"/>
          <w:b/>
          <w:color w:val="2F5496" w:themeColor="accent5" w:themeShade="BF"/>
          <w:sz w:val="24"/>
          <w:lang w:val="en-IN" w:eastAsia="en-GB"/>
        </w:rPr>
      </w:pPr>
      <w:r w:rsidRPr="00AC7A11">
        <w:rPr>
          <w:rFonts w:eastAsia="Times New Roman" w:cstheme="minorHAnsi"/>
          <w:b/>
          <w:color w:val="2F5496" w:themeColor="accent5" w:themeShade="BF"/>
          <w:sz w:val="24"/>
          <w:lang w:eastAsia="en-GB"/>
        </w:rPr>
        <w:lastRenderedPageBreak/>
        <w:t>National Social Security Fund</w:t>
      </w:r>
      <w:r w:rsidR="009C3F6F">
        <w:rPr>
          <w:rFonts w:eastAsia="Times New Roman" w:cstheme="minorHAnsi"/>
          <w:b/>
          <w:color w:val="2F5496" w:themeColor="accent5" w:themeShade="BF"/>
          <w:sz w:val="24"/>
          <w:lang w:eastAsia="en-GB"/>
        </w:rPr>
        <w:t xml:space="preserve"> and Social Security Law </w:t>
      </w:r>
    </w:p>
    <w:p w14:paraId="7288C82D" w14:textId="0EC19DC6" w:rsidR="007D32B0" w:rsidRDefault="00963C9F" w:rsidP="00C42C94">
      <w:pPr>
        <w:keepNext/>
        <w:keepLines/>
        <w:spacing w:before="120" w:after="120" w:line="264" w:lineRule="auto"/>
        <w:jc w:val="both"/>
        <w:rPr>
          <w:rFonts w:cstheme="minorHAnsi"/>
          <w:szCs w:val="20"/>
        </w:rPr>
      </w:pPr>
      <w:r w:rsidRPr="00963C9F">
        <w:rPr>
          <w:rFonts w:cstheme="minorHAnsi"/>
          <w:szCs w:val="20"/>
        </w:rPr>
        <w:t>The NSSF</w:t>
      </w:r>
      <w:r w:rsidRPr="00963C9F">
        <w:t xml:space="preserve"> </w:t>
      </w:r>
      <w:r w:rsidRPr="00963C9F">
        <w:rPr>
          <w:rFonts w:cstheme="minorHAnsi"/>
          <w:szCs w:val="20"/>
        </w:rPr>
        <w:t xml:space="preserve">administers benefits for healthcare, sickness, childbirth and maternity, disability, employment injury and occupational disease, unemployment, death, survivor or widowhood; and old-age pensions to registered members. </w:t>
      </w:r>
      <w:r>
        <w:rPr>
          <w:rFonts w:cstheme="minorHAnsi"/>
          <w:szCs w:val="20"/>
        </w:rPr>
        <w:t xml:space="preserve">It is </w:t>
      </w:r>
      <w:r w:rsidRPr="00963C9F">
        <w:rPr>
          <w:rFonts w:cstheme="minorHAnsi"/>
          <w:szCs w:val="20"/>
        </w:rPr>
        <w:t>implemented by the Lao Social Security Organisation (LSSO)</w:t>
      </w:r>
      <w:r w:rsidR="005067A4">
        <w:rPr>
          <w:rFonts w:cstheme="minorHAnsi"/>
          <w:szCs w:val="20"/>
        </w:rPr>
        <w:t>.</w:t>
      </w:r>
      <w:r>
        <w:rPr>
          <w:rFonts w:cstheme="minorHAnsi"/>
          <w:szCs w:val="20"/>
        </w:rPr>
        <w:t xml:space="preserve"> </w:t>
      </w:r>
      <w:r w:rsidR="005067A4" w:rsidRPr="005067A4">
        <w:rPr>
          <w:rFonts w:cstheme="minorHAnsi"/>
          <w:szCs w:val="20"/>
        </w:rPr>
        <w:t>As of 31 December 2023, it ha</w:t>
      </w:r>
      <w:r w:rsidR="005067A4">
        <w:rPr>
          <w:rFonts w:cstheme="minorHAnsi"/>
          <w:szCs w:val="20"/>
        </w:rPr>
        <w:t>d</w:t>
      </w:r>
      <w:r w:rsidR="005067A4" w:rsidRPr="005067A4">
        <w:rPr>
          <w:rFonts w:cstheme="minorHAnsi"/>
          <w:szCs w:val="20"/>
        </w:rPr>
        <w:t xml:space="preserve"> 353,962 members and cover</w:t>
      </w:r>
      <w:r w:rsidR="005067A4">
        <w:rPr>
          <w:rFonts w:cstheme="minorHAnsi"/>
          <w:szCs w:val="20"/>
        </w:rPr>
        <w:t>ed</w:t>
      </w:r>
      <w:r w:rsidR="005067A4" w:rsidRPr="005067A4">
        <w:rPr>
          <w:rFonts w:cstheme="minorHAnsi"/>
          <w:szCs w:val="20"/>
        </w:rPr>
        <w:t xml:space="preserve"> 867,277 members and their dependants. The membership includes most public sector workers and a limited number of private sector workers and self-employed workers. </w:t>
      </w:r>
      <w:r w:rsidR="009C3F6F" w:rsidRPr="005067A4">
        <w:rPr>
          <w:rFonts w:cstheme="minorHAnsi"/>
          <w:szCs w:val="20"/>
        </w:rPr>
        <w:t>Due to high informal employment in the country, the coverage of NSSF is limited to 11</w:t>
      </w:r>
      <w:r w:rsidR="009C3F6F">
        <w:rPr>
          <w:rFonts w:cstheme="minorHAnsi"/>
          <w:szCs w:val="20"/>
        </w:rPr>
        <w:t>.2%</w:t>
      </w:r>
      <w:r w:rsidR="009C3F6F" w:rsidRPr="005067A4">
        <w:rPr>
          <w:rFonts w:cstheme="minorHAnsi"/>
          <w:szCs w:val="20"/>
        </w:rPr>
        <w:t xml:space="preserve"> of the population including dependants. LSSO has a target to increase coverage by around 1</w:t>
      </w:r>
      <w:r w:rsidR="00C42C94">
        <w:rPr>
          <w:rFonts w:cstheme="minorHAnsi"/>
          <w:szCs w:val="20"/>
        </w:rPr>
        <w:t>0</w:t>
      </w:r>
      <w:r w:rsidR="009C3F6F" w:rsidRPr="005067A4">
        <w:rPr>
          <w:rFonts w:cstheme="minorHAnsi"/>
          <w:szCs w:val="20"/>
        </w:rPr>
        <w:t>0,000 members by 2025 and also plans to improve its management, administrative and communication processes.</w:t>
      </w:r>
    </w:p>
    <w:p w14:paraId="00022763" w14:textId="34CE6E8D" w:rsidR="007D32B0" w:rsidRDefault="007D32B0" w:rsidP="009C3F6F">
      <w:pPr>
        <w:spacing w:before="120" w:after="120" w:line="264" w:lineRule="auto"/>
        <w:jc w:val="both"/>
        <w:rPr>
          <w:rFonts w:cstheme="minorHAnsi"/>
          <w:szCs w:val="20"/>
        </w:rPr>
      </w:pPr>
      <w:r w:rsidRPr="007D32B0">
        <w:rPr>
          <w:rFonts w:cstheme="minorHAnsi"/>
          <w:szCs w:val="20"/>
        </w:rPr>
        <w:t xml:space="preserve">Article 72 </w:t>
      </w:r>
      <w:r>
        <w:rPr>
          <w:rFonts w:cstheme="minorHAnsi"/>
          <w:szCs w:val="20"/>
        </w:rPr>
        <w:t xml:space="preserve">of the </w:t>
      </w:r>
      <w:r w:rsidRPr="00963C9F">
        <w:rPr>
          <w:rFonts w:cstheme="minorHAnsi"/>
          <w:szCs w:val="20"/>
        </w:rPr>
        <w:t>Social Security Law</w:t>
      </w:r>
      <w:r w:rsidRPr="007D32B0">
        <w:rPr>
          <w:rFonts w:cstheme="minorHAnsi"/>
          <w:szCs w:val="20"/>
        </w:rPr>
        <w:t xml:space="preserve"> </w:t>
      </w:r>
      <w:r>
        <w:rPr>
          <w:rFonts w:cstheme="minorHAnsi"/>
          <w:szCs w:val="20"/>
        </w:rPr>
        <w:t xml:space="preserve">categorizes the NSSF into five </w:t>
      </w:r>
      <w:r w:rsidRPr="007D32B0">
        <w:rPr>
          <w:rFonts w:cstheme="minorHAnsi"/>
          <w:szCs w:val="20"/>
        </w:rPr>
        <w:t>sub-funds:</w:t>
      </w:r>
      <w:r>
        <w:rPr>
          <w:rFonts w:cstheme="minorHAnsi"/>
          <w:szCs w:val="20"/>
        </w:rPr>
        <w:t xml:space="preserve"> (</w:t>
      </w:r>
      <w:proofErr w:type="spellStart"/>
      <w:r>
        <w:rPr>
          <w:rFonts w:cstheme="minorHAnsi"/>
          <w:szCs w:val="20"/>
        </w:rPr>
        <w:t>i</w:t>
      </w:r>
      <w:proofErr w:type="spellEnd"/>
      <w:r>
        <w:rPr>
          <w:rFonts w:cstheme="minorHAnsi"/>
          <w:szCs w:val="20"/>
        </w:rPr>
        <w:t xml:space="preserve">) </w:t>
      </w:r>
      <w:r w:rsidRPr="007D32B0">
        <w:rPr>
          <w:rFonts w:cstheme="minorHAnsi"/>
          <w:szCs w:val="20"/>
        </w:rPr>
        <w:t>Heath Insurance Benefit Fund</w:t>
      </w:r>
      <w:r>
        <w:rPr>
          <w:rFonts w:cstheme="minorHAnsi"/>
          <w:szCs w:val="20"/>
        </w:rPr>
        <w:t>; (ii)</w:t>
      </w:r>
      <w:r w:rsidRPr="007D32B0">
        <w:rPr>
          <w:rFonts w:cstheme="minorHAnsi"/>
          <w:szCs w:val="20"/>
        </w:rPr>
        <w:t xml:space="preserve"> Employment Injury and Occupational Disease Benefit Fund;</w:t>
      </w:r>
      <w:r>
        <w:rPr>
          <w:rFonts w:cstheme="minorHAnsi"/>
          <w:szCs w:val="20"/>
        </w:rPr>
        <w:t xml:space="preserve"> (iii) </w:t>
      </w:r>
      <w:r w:rsidRPr="007D32B0">
        <w:rPr>
          <w:rFonts w:cstheme="minorHAnsi"/>
          <w:szCs w:val="20"/>
        </w:rPr>
        <w:t>Short-term Benefit Fund for the payment of sickness, maternity benefits and</w:t>
      </w:r>
      <w:r>
        <w:rPr>
          <w:rFonts w:cstheme="minorHAnsi"/>
          <w:szCs w:val="20"/>
        </w:rPr>
        <w:t xml:space="preserve"> </w:t>
      </w:r>
      <w:r w:rsidRPr="007D32B0">
        <w:rPr>
          <w:rFonts w:cstheme="minorHAnsi"/>
          <w:szCs w:val="20"/>
        </w:rPr>
        <w:t>death grant;</w:t>
      </w:r>
      <w:r>
        <w:rPr>
          <w:rFonts w:cstheme="minorHAnsi"/>
          <w:szCs w:val="20"/>
        </w:rPr>
        <w:t xml:space="preserve"> (iv) </w:t>
      </w:r>
      <w:r w:rsidRPr="007D32B0">
        <w:rPr>
          <w:rFonts w:cstheme="minorHAnsi"/>
          <w:szCs w:val="20"/>
        </w:rPr>
        <w:t>Long-term Benefit Fund for the payment of pension, Loss of working capacity and survivors’ benefits;</w:t>
      </w:r>
      <w:r>
        <w:rPr>
          <w:rFonts w:cstheme="minorHAnsi"/>
          <w:szCs w:val="20"/>
        </w:rPr>
        <w:t xml:space="preserve"> and (v) </w:t>
      </w:r>
      <w:r w:rsidRPr="007D32B0">
        <w:rPr>
          <w:rFonts w:cstheme="minorHAnsi"/>
          <w:szCs w:val="20"/>
        </w:rPr>
        <w:t>Unemployment Benefit Fund.</w:t>
      </w:r>
      <w:r w:rsidR="009C3F6F">
        <w:rPr>
          <w:rFonts w:cstheme="minorHAnsi"/>
          <w:szCs w:val="20"/>
        </w:rPr>
        <w:t xml:space="preserve"> It also states that e</w:t>
      </w:r>
      <w:r w:rsidRPr="007D32B0">
        <w:rPr>
          <w:rFonts w:cstheme="minorHAnsi"/>
          <w:szCs w:val="20"/>
        </w:rPr>
        <w:t>ach benefit fund shall be used for payments, reserves and mutual subsidies among benefit funds</w:t>
      </w:r>
      <w:r w:rsidR="00C42C94">
        <w:rPr>
          <w:rFonts w:cstheme="minorHAnsi"/>
          <w:szCs w:val="20"/>
        </w:rPr>
        <w:t>,</w:t>
      </w:r>
      <w:r w:rsidRPr="007D32B0">
        <w:rPr>
          <w:rFonts w:cstheme="minorHAnsi"/>
          <w:szCs w:val="20"/>
        </w:rPr>
        <w:t xml:space="preserve"> as prescribed in specific regulation</w:t>
      </w:r>
      <w:r w:rsidR="009C3F6F">
        <w:rPr>
          <w:rFonts w:cstheme="minorHAnsi"/>
          <w:szCs w:val="20"/>
        </w:rPr>
        <w:t>s</w:t>
      </w:r>
      <w:r w:rsidRPr="007D32B0">
        <w:rPr>
          <w:rFonts w:cstheme="minorHAnsi"/>
          <w:szCs w:val="20"/>
        </w:rPr>
        <w:t>.</w:t>
      </w:r>
    </w:p>
    <w:p w14:paraId="004FFFF5" w14:textId="67284078" w:rsidR="009C3F6F" w:rsidRDefault="009C3F6F" w:rsidP="009C3F6F">
      <w:pPr>
        <w:spacing w:before="120" w:after="120" w:line="264" w:lineRule="auto"/>
        <w:jc w:val="both"/>
        <w:rPr>
          <w:rFonts w:cstheme="minorHAnsi"/>
          <w:szCs w:val="20"/>
        </w:rPr>
      </w:pPr>
      <w:r w:rsidRPr="009C3F6F">
        <w:rPr>
          <w:rFonts w:cstheme="minorHAnsi"/>
          <w:szCs w:val="20"/>
        </w:rPr>
        <w:t>Article</w:t>
      </w:r>
      <w:r>
        <w:rPr>
          <w:rFonts w:cstheme="minorHAnsi"/>
          <w:szCs w:val="20"/>
        </w:rPr>
        <w:t>s</w:t>
      </w:r>
      <w:r w:rsidRPr="009C3F6F">
        <w:rPr>
          <w:rFonts w:cstheme="minorHAnsi"/>
          <w:szCs w:val="20"/>
        </w:rPr>
        <w:t xml:space="preserve"> 81</w:t>
      </w:r>
      <w:r>
        <w:rPr>
          <w:rFonts w:cstheme="minorHAnsi"/>
          <w:szCs w:val="20"/>
        </w:rPr>
        <w:t xml:space="preserve">–82 of the Law provide an overview of reserve funds and investments. </w:t>
      </w:r>
      <w:r w:rsidRPr="009C3F6F">
        <w:rPr>
          <w:rFonts w:cstheme="minorHAnsi"/>
          <w:szCs w:val="20"/>
        </w:rPr>
        <w:t>Article 81</w:t>
      </w:r>
      <w:r>
        <w:rPr>
          <w:rFonts w:cstheme="minorHAnsi"/>
          <w:szCs w:val="20"/>
        </w:rPr>
        <w:t xml:space="preserve"> states that “</w:t>
      </w:r>
      <w:r w:rsidRPr="009C3F6F">
        <w:rPr>
          <w:rFonts w:cstheme="minorHAnsi"/>
          <w:szCs w:val="20"/>
        </w:rPr>
        <w:t xml:space="preserve">The reserve fund is an accumulation </w:t>
      </w:r>
      <w:r>
        <w:rPr>
          <w:rFonts w:cstheme="minorHAnsi"/>
          <w:szCs w:val="20"/>
        </w:rPr>
        <w:t>of</w:t>
      </w:r>
      <w:r w:rsidRPr="009C3F6F">
        <w:rPr>
          <w:rFonts w:cstheme="minorHAnsi"/>
          <w:szCs w:val="20"/>
        </w:rPr>
        <w:t xml:space="preserve"> the surplus cash of the social security fund and it shall be kept in the National Treasury or banks for payment </w:t>
      </w:r>
      <w:r>
        <w:rPr>
          <w:rFonts w:cstheme="minorHAnsi"/>
          <w:szCs w:val="20"/>
        </w:rPr>
        <w:t>of</w:t>
      </w:r>
      <w:r w:rsidRPr="009C3F6F">
        <w:rPr>
          <w:rFonts w:cstheme="minorHAnsi"/>
          <w:szCs w:val="20"/>
        </w:rPr>
        <w:t xml:space="preserve"> long</w:t>
      </w:r>
      <w:r>
        <w:rPr>
          <w:rFonts w:cstheme="minorHAnsi"/>
          <w:szCs w:val="20"/>
        </w:rPr>
        <w:t>-</w:t>
      </w:r>
      <w:r w:rsidRPr="009C3F6F">
        <w:rPr>
          <w:rFonts w:cstheme="minorHAnsi"/>
          <w:szCs w:val="20"/>
        </w:rPr>
        <w:t>term benefits</w:t>
      </w:r>
      <w:r>
        <w:rPr>
          <w:rFonts w:cstheme="minorHAnsi"/>
          <w:szCs w:val="20"/>
        </w:rPr>
        <w:t>”</w:t>
      </w:r>
      <w:r w:rsidRPr="009C3F6F">
        <w:rPr>
          <w:rFonts w:cstheme="minorHAnsi"/>
          <w:szCs w:val="20"/>
        </w:rPr>
        <w:t>.</w:t>
      </w:r>
      <w:r>
        <w:rPr>
          <w:rFonts w:cstheme="minorHAnsi"/>
          <w:szCs w:val="20"/>
        </w:rPr>
        <w:t xml:space="preserve"> </w:t>
      </w:r>
      <w:r w:rsidRPr="009C3F6F">
        <w:rPr>
          <w:rFonts w:cstheme="minorHAnsi"/>
          <w:szCs w:val="20"/>
        </w:rPr>
        <w:t>Article 82</w:t>
      </w:r>
      <w:r>
        <w:rPr>
          <w:rFonts w:cstheme="minorHAnsi"/>
          <w:szCs w:val="20"/>
        </w:rPr>
        <w:t xml:space="preserve"> provides that “</w:t>
      </w:r>
      <w:r w:rsidRPr="009C3F6F">
        <w:rPr>
          <w:rFonts w:cstheme="minorHAnsi"/>
          <w:szCs w:val="20"/>
        </w:rPr>
        <w:t xml:space="preserve">The </w:t>
      </w:r>
      <w:r>
        <w:rPr>
          <w:rFonts w:cstheme="minorHAnsi"/>
          <w:szCs w:val="20"/>
        </w:rPr>
        <w:t>LSSO</w:t>
      </w:r>
      <w:r w:rsidRPr="009C3F6F">
        <w:rPr>
          <w:rFonts w:cstheme="minorHAnsi"/>
          <w:szCs w:val="20"/>
        </w:rPr>
        <w:t xml:space="preserve"> can use the reserve fund for investment in appropriate forms as prescribed in </w:t>
      </w:r>
      <w:r>
        <w:rPr>
          <w:rFonts w:cstheme="minorHAnsi"/>
          <w:szCs w:val="20"/>
        </w:rPr>
        <w:t>A</w:t>
      </w:r>
      <w:r w:rsidRPr="009C3F6F">
        <w:rPr>
          <w:rFonts w:cstheme="minorHAnsi"/>
          <w:szCs w:val="20"/>
        </w:rPr>
        <w:t>rticle 73</w:t>
      </w:r>
      <w:r>
        <w:rPr>
          <w:rFonts w:cstheme="minorHAnsi"/>
          <w:szCs w:val="20"/>
        </w:rPr>
        <w:t>,</w:t>
      </w:r>
      <w:r w:rsidRPr="009C3F6F">
        <w:rPr>
          <w:rFonts w:cstheme="minorHAnsi"/>
          <w:szCs w:val="20"/>
        </w:rPr>
        <w:t xml:space="preserve"> </w:t>
      </w:r>
      <w:r>
        <w:rPr>
          <w:rFonts w:cstheme="minorHAnsi"/>
          <w:szCs w:val="20"/>
        </w:rPr>
        <w:t>for</w:t>
      </w:r>
      <w:r w:rsidRPr="009C3F6F">
        <w:rPr>
          <w:rFonts w:cstheme="minorHAnsi"/>
          <w:szCs w:val="20"/>
        </w:rPr>
        <w:t xml:space="preserve"> grow</w:t>
      </w:r>
      <w:r>
        <w:rPr>
          <w:rFonts w:cstheme="minorHAnsi"/>
          <w:szCs w:val="20"/>
        </w:rPr>
        <w:t>th</w:t>
      </w:r>
      <w:r w:rsidRPr="009C3F6F">
        <w:rPr>
          <w:rFonts w:cstheme="minorHAnsi"/>
          <w:szCs w:val="20"/>
        </w:rPr>
        <w:t>, strengthening and sustainability</w:t>
      </w:r>
      <w:r>
        <w:rPr>
          <w:rFonts w:cstheme="minorHAnsi"/>
          <w:szCs w:val="20"/>
        </w:rPr>
        <w:t xml:space="preserve"> of</w:t>
      </w:r>
      <w:r w:rsidRPr="009C3F6F">
        <w:rPr>
          <w:rFonts w:cstheme="minorHAnsi"/>
          <w:szCs w:val="20"/>
        </w:rPr>
        <w:t xml:space="preserve"> the fund. The investments must be ensured </w:t>
      </w:r>
      <w:r>
        <w:rPr>
          <w:rFonts w:cstheme="minorHAnsi"/>
          <w:szCs w:val="20"/>
        </w:rPr>
        <w:t>to be safe and secure,</w:t>
      </w:r>
      <w:r w:rsidRPr="009C3F6F">
        <w:rPr>
          <w:rFonts w:cstheme="minorHAnsi"/>
          <w:szCs w:val="20"/>
        </w:rPr>
        <w:t xml:space="preserve"> and have no risks on the capital and profits that are approved by the Board of Directors. The us</w:t>
      </w:r>
      <w:r>
        <w:rPr>
          <w:rFonts w:cstheme="minorHAnsi"/>
          <w:szCs w:val="20"/>
        </w:rPr>
        <w:t>e</w:t>
      </w:r>
      <w:r w:rsidRPr="009C3F6F">
        <w:rPr>
          <w:rFonts w:cstheme="minorHAnsi"/>
          <w:szCs w:val="20"/>
        </w:rPr>
        <w:t xml:space="preserve"> of reserve social security fund for investment shall be prescribed in specific regulation</w:t>
      </w:r>
      <w:r>
        <w:rPr>
          <w:rFonts w:cstheme="minorHAnsi"/>
          <w:szCs w:val="20"/>
        </w:rPr>
        <w:t>s</w:t>
      </w:r>
      <w:r w:rsidRPr="009C3F6F">
        <w:rPr>
          <w:rFonts w:cstheme="minorHAnsi"/>
          <w:szCs w:val="20"/>
        </w:rPr>
        <w:t>.</w:t>
      </w:r>
      <w:r>
        <w:rPr>
          <w:rFonts w:cstheme="minorHAnsi"/>
          <w:szCs w:val="20"/>
        </w:rPr>
        <w:t xml:space="preserve">” Article </w:t>
      </w:r>
      <w:r w:rsidRPr="009C3F6F">
        <w:rPr>
          <w:rFonts w:cstheme="minorHAnsi"/>
          <w:szCs w:val="20"/>
        </w:rPr>
        <w:t>73</w:t>
      </w:r>
      <w:r>
        <w:rPr>
          <w:rFonts w:cstheme="minorHAnsi"/>
          <w:szCs w:val="20"/>
        </w:rPr>
        <w:t xml:space="preserve"> defines the</w:t>
      </w:r>
      <w:r w:rsidRPr="009C3F6F">
        <w:rPr>
          <w:rFonts w:cstheme="minorHAnsi"/>
          <w:szCs w:val="20"/>
        </w:rPr>
        <w:t xml:space="preserve"> </w:t>
      </w:r>
      <w:r>
        <w:rPr>
          <w:rFonts w:cstheme="minorHAnsi"/>
          <w:szCs w:val="20"/>
        </w:rPr>
        <w:t>r</w:t>
      </w:r>
      <w:r w:rsidRPr="009C3F6F">
        <w:rPr>
          <w:rFonts w:cstheme="minorHAnsi"/>
          <w:szCs w:val="20"/>
        </w:rPr>
        <w:t xml:space="preserve">evenue </w:t>
      </w:r>
      <w:r>
        <w:rPr>
          <w:rFonts w:cstheme="minorHAnsi"/>
          <w:szCs w:val="20"/>
        </w:rPr>
        <w:t>s</w:t>
      </w:r>
      <w:r w:rsidRPr="009C3F6F">
        <w:rPr>
          <w:rFonts w:cstheme="minorHAnsi"/>
          <w:szCs w:val="20"/>
        </w:rPr>
        <w:t>ources as</w:t>
      </w:r>
      <w:r>
        <w:rPr>
          <w:rFonts w:cstheme="minorHAnsi"/>
          <w:szCs w:val="20"/>
        </w:rPr>
        <w:t xml:space="preserve"> c</w:t>
      </w:r>
      <w:r w:rsidRPr="009C3F6F">
        <w:rPr>
          <w:rFonts w:cstheme="minorHAnsi"/>
          <w:szCs w:val="20"/>
        </w:rPr>
        <w:t>ontributions</w:t>
      </w:r>
      <w:r>
        <w:rPr>
          <w:rFonts w:cstheme="minorHAnsi"/>
          <w:szCs w:val="20"/>
        </w:rPr>
        <w:t>, i</w:t>
      </w:r>
      <w:r w:rsidRPr="009C3F6F">
        <w:rPr>
          <w:rFonts w:cstheme="minorHAnsi"/>
          <w:szCs w:val="20"/>
        </w:rPr>
        <w:t>nterests or profit returns from investment</w:t>
      </w:r>
      <w:r>
        <w:rPr>
          <w:rFonts w:cstheme="minorHAnsi"/>
          <w:szCs w:val="20"/>
        </w:rPr>
        <w:t xml:space="preserve">, </w:t>
      </w:r>
      <w:r w:rsidRPr="009C3F6F">
        <w:rPr>
          <w:rFonts w:cstheme="minorHAnsi"/>
          <w:szCs w:val="20"/>
        </w:rPr>
        <w:t>subsidies from state budget for invalid</w:t>
      </w:r>
      <w:r>
        <w:rPr>
          <w:rFonts w:cstheme="minorHAnsi"/>
          <w:szCs w:val="20"/>
        </w:rPr>
        <w:t xml:space="preserve"> veterans,</w:t>
      </w:r>
      <w:r w:rsidRPr="009C3F6F">
        <w:rPr>
          <w:rFonts w:cstheme="minorHAnsi"/>
          <w:szCs w:val="20"/>
        </w:rPr>
        <w:t xml:space="preserve"> </w:t>
      </w:r>
      <w:r>
        <w:rPr>
          <w:rFonts w:cstheme="minorHAnsi"/>
          <w:szCs w:val="20"/>
        </w:rPr>
        <w:t>and o</w:t>
      </w:r>
      <w:r w:rsidRPr="009C3F6F">
        <w:rPr>
          <w:rFonts w:cstheme="minorHAnsi"/>
          <w:szCs w:val="20"/>
        </w:rPr>
        <w:t>ther legal sources.</w:t>
      </w:r>
    </w:p>
    <w:p w14:paraId="739DB855" w14:textId="085FA9AA" w:rsidR="00963C9F" w:rsidRDefault="00963C9F" w:rsidP="006753E3">
      <w:pPr>
        <w:spacing w:before="120" w:after="120" w:line="264" w:lineRule="auto"/>
        <w:jc w:val="both"/>
        <w:rPr>
          <w:rFonts w:cstheme="minorHAnsi"/>
          <w:szCs w:val="20"/>
        </w:rPr>
      </w:pPr>
      <w:r>
        <w:rPr>
          <w:rFonts w:cstheme="minorHAnsi"/>
          <w:szCs w:val="20"/>
        </w:rPr>
        <w:t>T</w:t>
      </w:r>
      <w:r w:rsidRPr="00963C9F">
        <w:rPr>
          <w:rFonts w:cstheme="minorHAnsi"/>
          <w:szCs w:val="20"/>
        </w:rPr>
        <w:t xml:space="preserve">he Government plans to amend the Social Security Law in the National Assembly </w:t>
      </w:r>
      <w:r>
        <w:rPr>
          <w:rFonts w:cstheme="minorHAnsi"/>
          <w:szCs w:val="20"/>
        </w:rPr>
        <w:t>i</w:t>
      </w:r>
      <w:r w:rsidRPr="00963C9F">
        <w:rPr>
          <w:rFonts w:cstheme="minorHAnsi"/>
          <w:szCs w:val="20"/>
        </w:rPr>
        <w:t>n 2024</w:t>
      </w:r>
      <w:r>
        <w:rPr>
          <w:rFonts w:cstheme="minorHAnsi"/>
          <w:szCs w:val="20"/>
        </w:rPr>
        <w:t>–25</w:t>
      </w:r>
      <w:r w:rsidRPr="00963C9F">
        <w:rPr>
          <w:rFonts w:cstheme="minorHAnsi"/>
          <w:szCs w:val="20"/>
        </w:rPr>
        <w:t xml:space="preserve"> (last amended in 2018), and implement reforms to increase coverage and improve Fund sustainability. </w:t>
      </w:r>
      <w:r>
        <w:rPr>
          <w:rFonts w:cstheme="minorHAnsi"/>
          <w:szCs w:val="20"/>
        </w:rPr>
        <w:t>ILO has recently supported</w:t>
      </w:r>
      <w:r w:rsidRPr="00963C9F">
        <w:rPr>
          <w:rFonts w:cstheme="minorHAnsi"/>
          <w:szCs w:val="20"/>
        </w:rPr>
        <w:t xml:space="preserve"> LSSO to undertake an actuarial valuation of the NSSF and a legal assessment </w:t>
      </w:r>
      <w:r>
        <w:rPr>
          <w:rFonts w:cstheme="minorHAnsi"/>
          <w:szCs w:val="20"/>
        </w:rPr>
        <w:t>against</w:t>
      </w:r>
      <w:r w:rsidRPr="00963C9F">
        <w:rPr>
          <w:rFonts w:cstheme="minorHAnsi"/>
          <w:szCs w:val="20"/>
        </w:rPr>
        <w:t xml:space="preserve"> international labour standards, particularly the Social Security (minimum standards) Convention, 1952 (No.102). </w:t>
      </w:r>
      <w:r>
        <w:rPr>
          <w:rFonts w:cstheme="minorHAnsi"/>
          <w:szCs w:val="20"/>
        </w:rPr>
        <w:t xml:space="preserve">ILO also plans to conduct a </w:t>
      </w:r>
      <w:r w:rsidR="00AA2B3D">
        <w:rPr>
          <w:rFonts w:cstheme="minorHAnsi"/>
          <w:szCs w:val="20"/>
        </w:rPr>
        <w:t>preliminary</w:t>
      </w:r>
      <w:r>
        <w:rPr>
          <w:rFonts w:cstheme="minorHAnsi"/>
          <w:szCs w:val="20"/>
        </w:rPr>
        <w:t xml:space="preserve"> study on strengthening investment of the NSSF funds in view of the upcoming legislative reform</w:t>
      </w:r>
      <w:r w:rsidRPr="00D63B47">
        <w:rPr>
          <w:rFonts w:cstheme="minorHAnsi"/>
          <w:szCs w:val="20"/>
        </w:rPr>
        <w:t>.</w:t>
      </w:r>
    </w:p>
    <w:p w14:paraId="06637E35" w14:textId="31ED6ACE" w:rsidR="007A3BD0" w:rsidRDefault="007A3BD0" w:rsidP="006753E3">
      <w:pPr>
        <w:spacing w:before="120" w:after="120" w:line="264" w:lineRule="auto"/>
        <w:jc w:val="both"/>
        <w:rPr>
          <w:rFonts w:cstheme="minorHAnsi"/>
          <w:szCs w:val="20"/>
        </w:rPr>
      </w:pPr>
    </w:p>
    <w:p w14:paraId="7C273979" w14:textId="5072F3D6" w:rsidR="007A3BD0" w:rsidRPr="007A3BD0" w:rsidRDefault="007A3BD0" w:rsidP="007A3BD0">
      <w:pPr>
        <w:tabs>
          <w:tab w:val="left" w:pos="3260"/>
        </w:tabs>
        <w:spacing w:before="120" w:after="120" w:line="264" w:lineRule="auto"/>
        <w:jc w:val="both"/>
        <w:rPr>
          <w:rFonts w:eastAsia="Times New Roman" w:cstheme="minorHAnsi"/>
          <w:b/>
          <w:color w:val="2F5496" w:themeColor="accent5" w:themeShade="BF"/>
          <w:sz w:val="24"/>
          <w:lang w:val="en-IN" w:eastAsia="en-GB"/>
        </w:rPr>
      </w:pPr>
      <w:r w:rsidRPr="00AC7A11">
        <w:rPr>
          <w:rFonts w:eastAsia="Times New Roman" w:cstheme="minorHAnsi"/>
          <w:b/>
          <w:color w:val="2F5496" w:themeColor="accent5" w:themeShade="BF"/>
          <w:sz w:val="24"/>
          <w:lang w:eastAsia="en-GB"/>
        </w:rPr>
        <w:t>N</w:t>
      </w:r>
      <w:r>
        <w:rPr>
          <w:rFonts w:eastAsia="Times New Roman" w:cstheme="minorHAnsi"/>
          <w:b/>
          <w:color w:val="2F5496" w:themeColor="accent5" w:themeShade="BF"/>
          <w:sz w:val="24"/>
          <w:lang w:eastAsia="en-GB"/>
        </w:rPr>
        <w:t>SSF investments</w:t>
      </w:r>
    </w:p>
    <w:p w14:paraId="6CE0A066" w14:textId="44B7DBCE" w:rsidR="00963C9F" w:rsidRDefault="00963C9F" w:rsidP="00963C9F">
      <w:pPr>
        <w:spacing w:before="120" w:after="120" w:line="264" w:lineRule="auto"/>
        <w:jc w:val="both"/>
        <w:rPr>
          <w:rFonts w:cstheme="minorHAnsi"/>
          <w:szCs w:val="20"/>
        </w:rPr>
      </w:pPr>
      <w:r w:rsidRPr="00D63B47">
        <w:rPr>
          <w:rFonts w:cstheme="minorHAnsi"/>
          <w:szCs w:val="20"/>
        </w:rPr>
        <w:t xml:space="preserve">When the </w:t>
      </w:r>
      <w:r>
        <w:rPr>
          <w:rFonts w:cstheme="minorHAnsi"/>
          <w:szCs w:val="20"/>
        </w:rPr>
        <w:t>NSSF</w:t>
      </w:r>
      <w:r w:rsidRPr="00D63B47">
        <w:rPr>
          <w:rFonts w:cstheme="minorHAnsi"/>
          <w:szCs w:val="20"/>
        </w:rPr>
        <w:t xml:space="preserve"> was </w:t>
      </w:r>
      <w:r>
        <w:rPr>
          <w:rFonts w:cstheme="minorHAnsi"/>
          <w:szCs w:val="20"/>
        </w:rPr>
        <w:t xml:space="preserve">first </w:t>
      </w:r>
      <w:r w:rsidRPr="00D63B47">
        <w:rPr>
          <w:rFonts w:cstheme="minorHAnsi"/>
          <w:szCs w:val="20"/>
        </w:rPr>
        <w:t xml:space="preserve">set up, </w:t>
      </w:r>
      <w:r>
        <w:rPr>
          <w:rFonts w:cstheme="minorHAnsi"/>
          <w:szCs w:val="20"/>
        </w:rPr>
        <w:t>due to limited</w:t>
      </w:r>
      <w:r w:rsidRPr="00D63B47">
        <w:rPr>
          <w:rFonts w:cstheme="minorHAnsi"/>
          <w:szCs w:val="20"/>
        </w:rPr>
        <w:t xml:space="preserve"> options for long-term investments, </w:t>
      </w:r>
      <w:r>
        <w:rPr>
          <w:rFonts w:cstheme="minorHAnsi"/>
          <w:szCs w:val="20"/>
        </w:rPr>
        <w:t>the main avenue for investing the long-term benefit fund for the formal enterprise scheme</w:t>
      </w:r>
      <w:r w:rsidRPr="00D63B47">
        <w:rPr>
          <w:rFonts w:cstheme="minorHAnsi"/>
          <w:szCs w:val="20"/>
        </w:rPr>
        <w:t xml:space="preserve"> </w:t>
      </w:r>
      <w:r>
        <w:rPr>
          <w:rFonts w:cstheme="minorHAnsi"/>
          <w:szCs w:val="20"/>
        </w:rPr>
        <w:t>was</w:t>
      </w:r>
      <w:r w:rsidRPr="00D63B47">
        <w:rPr>
          <w:rFonts w:cstheme="minorHAnsi"/>
          <w:szCs w:val="20"/>
        </w:rPr>
        <w:t xml:space="preserve"> fixed-term bank deposits. </w:t>
      </w:r>
      <w:r>
        <w:rPr>
          <w:rFonts w:cstheme="minorHAnsi"/>
          <w:szCs w:val="20"/>
        </w:rPr>
        <w:t>Since then, the financial market</w:t>
      </w:r>
      <w:r w:rsidRPr="00D63B47">
        <w:rPr>
          <w:rFonts w:cstheme="minorHAnsi"/>
          <w:szCs w:val="20"/>
        </w:rPr>
        <w:t xml:space="preserve"> landscape</w:t>
      </w:r>
      <w:r>
        <w:rPr>
          <w:rFonts w:cstheme="minorHAnsi"/>
          <w:szCs w:val="20"/>
        </w:rPr>
        <w:t xml:space="preserve"> in Lao PDR</w:t>
      </w:r>
      <w:r w:rsidRPr="00D63B47">
        <w:rPr>
          <w:rFonts w:cstheme="minorHAnsi"/>
          <w:szCs w:val="20"/>
        </w:rPr>
        <w:t xml:space="preserve"> has changed considerably. The G</w:t>
      </w:r>
      <w:r>
        <w:rPr>
          <w:rFonts w:cstheme="minorHAnsi"/>
          <w:szCs w:val="20"/>
        </w:rPr>
        <w:t xml:space="preserve">overnment of </w:t>
      </w:r>
      <w:r w:rsidRPr="00D63B47">
        <w:rPr>
          <w:rFonts w:cstheme="minorHAnsi"/>
          <w:szCs w:val="20"/>
        </w:rPr>
        <w:t>L</w:t>
      </w:r>
      <w:r>
        <w:rPr>
          <w:rFonts w:cstheme="minorHAnsi"/>
          <w:szCs w:val="20"/>
        </w:rPr>
        <w:t>ao PDR</w:t>
      </w:r>
      <w:r w:rsidRPr="00D63B47">
        <w:rPr>
          <w:rFonts w:cstheme="minorHAnsi"/>
          <w:szCs w:val="20"/>
        </w:rPr>
        <w:t xml:space="preserve"> now issu</w:t>
      </w:r>
      <w:r>
        <w:rPr>
          <w:rFonts w:cstheme="minorHAnsi"/>
          <w:szCs w:val="20"/>
        </w:rPr>
        <w:t>es</w:t>
      </w:r>
      <w:r w:rsidRPr="00D63B47">
        <w:rPr>
          <w:rFonts w:cstheme="minorHAnsi"/>
          <w:szCs w:val="20"/>
        </w:rPr>
        <w:t xml:space="preserve"> long-term government bonds and </w:t>
      </w:r>
      <w:r>
        <w:rPr>
          <w:rFonts w:cstheme="minorHAnsi"/>
          <w:szCs w:val="20"/>
        </w:rPr>
        <w:t>a</w:t>
      </w:r>
      <w:r w:rsidRPr="00D63B47">
        <w:rPr>
          <w:rFonts w:cstheme="minorHAnsi"/>
          <w:szCs w:val="20"/>
        </w:rPr>
        <w:t xml:space="preserve"> </w:t>
      </w:r>
      <w:r>
        <w:rPr>
          <w:rFonts w:cstheme="minorHAnsi"/>
          <w:szCs w:val="20"/>
        </w:rPr>
        <w:t>s</w:t>
      </w:r>
      <w:r w:rsidRPr="00D63B47">
        <w:rPr>
          <w:rFonts w:cstheme="minorHAnsi"/>
          <w:szCs w:val="20"/>
        </w:rPr>
        <w:t>tock</w:t>
      </w:r>
      <w:r>
        <w:rPr>
          <w:rFonts w:cstheme="minorHAnsi"/>
          <w:szCs w:val="20"/>
        </w:rPr>
        <w:t xml:space="preserve"> </w:t>
      </w:r>
      <w:r w:rsidRPr="00D63B47">
        <w:rPr>
          <w:rFonts w:cstheme="minorHAnsi"/>
          <w:szCs w:val="20"/>
        </w:rPr>
        <w:t xml:space="preserve">market is </w:t>
      </w:r>
      <w:r>
        <w:rPr>
          <w:rFonts w:cstheme="minorHAnsi"/>
          <w:szCs w:val="20"/>
        </w:rPr>
        <w:t>in operation</w:t>
      </w:r>
      <w:r w:rsidRPr="00D63B47">
        <w:rPr>
          <w:rFonts w:cstheme="minorHAnsi"/>
          <w:szCs w:val="20"/>
        </w:rPr>
        <w:t>.</w:t>
      </w:r>
      <w:r>
        <w:rPr>
          <w:rFonts w:cstheme="minorHAnsi"/>
          <w:szCs w:val="20"/>
        </w:rPr>
        <w:t xml:space="preserve"> </w:t>
      </w:r>
      <w:r w:rsidRPr="00963C9F">
        <w:rPr>
          <w:rFonts w:cstheme="minorHAnsi"/>
          <w:szCs w:val="20"/>
        </w:rPr>
        <w:t>The</w:t>
      </w:r>
      <w:r>
        <w:rPr>
          <w:rFonts w:cstheme="minorHAnsi"/>
          <w:szCs w:val="20"/>
        </w:rPr>
        <w:t xml:space="preserve"> </w:t>
      </w:r>
      <w:r w:rsidRPr="00963C9F">
        <w:rPr>
          <w:rFonts w:cstheme="minorHAnsi"/>
          <w:szCs w:val="20"/>
        </w:rPr>
        <w:t xml:space="preserve">Lao Securities Exchange </w:t>
      </w:r>
      <w:r>
        <w:rPr>
          <w:rFonts w:cstheme="minorHAnsi"/>
          <w:szCs w:val="20"/>
        </w:rPr>
        <w:t>(LSX) had</w:t>
      </w:r>
      <w:r w:rsidRPr="00963C9F">
        <w:rPr>
          <w:rFonts w:cstheme="minorHAnsi"/>
          <w:szCs w:val="20"/>
        </w:rPr>
        <w:t xml:space="preserve"> 11 companies listed </w:t>
      </w:r>
      <w:r>
        <w:rPr>
          <w:rFonts w:cstheme="minorHAnsi"/>
          <w:szCs w:val="20"/>
        </w:rPr>
        <w:t>as of September 2022</w:t>
      </w:r>
      <w:r w:rsidRPr="00963C9F">
        <w:rPr>
          <w:rFonts w:cstheme="minorHAnsi"/>
          <w:szCs w:val="20"/>
        </w:rPr>
        <w:t xml:space="preserve">, including </w:t>
      </w:r>
      <w:r>
        <w:rPr>
          <w:rFonts w:cstheme="minorHAnsi"/>
          <w:szCs w:val="20"/>
        </w:rPr>
        <w:t>4</w:t>
      </w:r>
      <w:r w:rsidRPr="00963C9F">
        <w:rPr>
          <w:rFonts w:cstheme="minorHAnsi"/>
          <w:szCs w:val="20"/>
        </w:rPr>
        <w:t xml:space="preserve"> securities firms, </w:t>
      </w:r>
      <w:r>
        <w:rPr>
          <w:rFonts w:cstheme="minorHAnsi"/>
          <w:szCs w:val="20"/>
        </w:rPr>
        <w:t>3</w:t>
      </w:r>
      <w:r w:rsidRPr="00963C9F">
        <w:rPr>
          <w:rFonts w:cstheme="minorHAnsi"/>
          <w:szCs w:val="20"/>
        </w:rPr>
        <w:t xml:space="preserve"> custodian banks and </w:t>
      </w:r>
      <w:r>
        <w:rPr>
          <w:rFonts w:cstheme="minorHAnsi"/>
          <w:szCs w:val="20"/>
        </w:rPr>
        <w:t>4</w:t>
      </w:r>
      <w:r w:rsidRPr="00963C9F">
        <w:rPr>
          <w:rFonts w:cstheme="minorHAnsi"/>
          <w:szCs w:val="20"/>
        </w:rPr>
        <w:t xml:space="preserve"> accountancy firms.</w:t>
      </w:r>
    </w:p>
    <w:p w14:paraId="4A260559" w14:textId="0404E33A" w:rsidR="007D32B0" w:rsidRDefault="00963C9F" w:rsidP="00E6484E">
      <w:pPr>
        <w:spacing w:before="120" w:after="120" w:line="264" w:lineRule="auto"/>
        <w:jc w:val="both"/>
        <w:rPr>
          <w:rFonts w:cstheme="minorHAnsi"/>
          <w:szCs w:val="20"/>
        </w:rPr>
      </w:pPr>
      <w:r w:rsidRPr="00963C9F">
        <w:rPr>
          <w:rFonts w:cstheme="minorHAnsi"/>
          <w:szCs w:val="20"/>
        </w:rPr>
        <w:t>Apart from the legislative amendment</w:t>
      </w:r>
      <w:r w:rsidR="00E6484E">
        <w:rPr>
          <w:rFonts w:cstheme="minorHAnsi"/>
          <w:szCs w:val="20"/>
        </w:rPr>
        <w:t xml:space="preserve"> (</w:t>
      </w:r>
      <w:r w:rsidR="00E6484E" w:rsidRPr="00E6484E">
        <w:rPr>
          <w:rFonts w:cstheme="minorHAnsi"/>
          <w:szCs w:val="20"/>
        </w:rPr>
        <w:t>the Law does not clearly define the basic investment principles in its chapter on investments</w:t>
      </w:r>
      <w:r w:rsidR="00E6484E">
        <w:rPr>
          <w:rFonts w:cstheme="minorHAnsi"/>
          <w:szCs w:val="20"/>
        </w:rPr>
        <w:t>)</w:t>
      </w:r>
      <w:r w:rsidRPr="00963C9F">
        <w:rPr>
          <w:rFonts w:cstheme="minorHAnsi"/>
          <w:szCs w:val="20"/>
        </w:rPr>
        <w:t xml:space="preserve">, there is a need to develop the regulatory framework. As of now, no </w:t>
      </w:r>
      <w:r w:rsidRPr="00963C9F">
        <w:rPr>
          <w:rFonts w:cstheme="minorHAnsi"/>
          <w:szCs w:val="20"/>
        </w:rPr>
        <w:lastRenderedPageBreak/>
        <w:t xml:space="preserve">information or documents on current investment practices are published by LSSO. It is important to set up a Financing Policy and Investment </w:t>
      </w:r>
      <w:r w:rsidR="00E6484E">
        <w:rPr>
          <w:rFonts w:cstheme="minorHAnsi"/>
          <w:szCs w:val="20"/>
        </w:rPr>
        <w:t>D</w:t>
      </w:r>
      <w:r w:rsidR="00E6484E" w:rsidRPr="00E6484E">
        <w:rPr>
          <w:rFonts w:cstheme="minorHAnsi"/>
          <w:szCs w:val="20"/>
        </w:rPr>
        <w:t xml:space="preserve">iversification </w:t>
      </w:r>
      <w:r w:rsidRPr="00963C9F">
        <w:rPr>
          <w:rFonts w:cstheme="minorHAnsi"/>
          <w:szCs w:val="20"/>
        </w:rPr>
        <w:t xml:space="preserve">Strategy, followed by an </w:t>
      </w:r>
      <w:r w:rsidR="00E6484E" w:rsidRPr="00E6484E">
        <w:rPr>
          <w:rFonts w:cstheme="minorHAnsi"/>
          <w:szCs w:val="20"/>
        </w:rPr>
        <w:t>appropriate internal investment governance structure</w:t>
      </w:r>
      <w:r w:rsidRPr="00963C9F">
        <w:rPr>
          <w:rFonts w:cstheme="minorHAnsi"/>
          <w:szCs w:val="20"/>
        </w:rPr>
        <w:t xml:space="preserve">. </w:t>
      </w:r>
      <w:r w:rsidR="00EE033D" w:rsidRPr="00D63B47">
        <w:rPr>
          <w:rFonts w:cstheme="minorHAnsi"/>
          <w:szCs w:val="20"/>
        </w:rPr>
        <w:t xml:space="preserve">There </w:t>
      </w:r>
      <w:r w:rsidR="00EE033D">
        <w:rPr>
          <w:rFonts w:cstheme="minorHAnsi"/>
          <w:szCs w:val="20"/>
        </w:rPr>
        <w:t>is</w:t>
      </w:r>
      <w:r w:rsidR="00EE033D" w:rsidRPr="00D63B47">
        <w:rPr>
          <w:rFonts w:cstheme="minorHAnsi"/>
          <w:szCs w:val="20"/>
        </w:rPr>
        <w:t xml:space="preserve"> also need for training on </w:t>
      </w:r>
      <w:r w:rsidR="00E6484E">
        <w:rPr>
          <w:rFonts w:cstheme="minorHAnsi"/>
          <w:szCs w:val="20"/>
        </w:rPr>
        <w:t xml:space="preserve">international standards and </w:t>
      </w:r>
      <w:r w:rsidR="00E6484E" w:rsidRPr="00E6484E">
        <w:rPr>
          <w:rFonts w:cstheme="minorHAnsi"/>
          <w:szCs w:val="20"/>
        </w:rPr>
        <w:t>best practices of social security administration and investment management principles</w:t>
      </w:r>
      <w:r w:rsidR="00EE033D" w:rsidRPr="00D63B47">
        <w:rPr>
          <w:rFonts w:cstheme="minorHAnsi"/>
          <w:szCs w:val="20"/>
        </w:rPr>
        <w:t xml:space="preserve">, </w:t>
      </w:r>
      <w:r w:rsidR="00E6484E">
        <w:rPr>
          <w:rFonts w:cstheme="minorHAnsi"/>
          <w:szCs w:val="20"/>
        </w:rPr>
        <w:t xml:space="preserve">risk management, </w:t>
      </w:r>
      <w:r w:rsidR="00E6484E" w:rsidRPr="00E6484E">
        <w:rPr>
          <w:rFonts w:cstheme="minorHAnsi"/>
          <w:szCs w:val="20"/>
        </w:rPr>
        <w:t xml:space="preserve">conducting due diligence </w:t>
      </w:r>
      <w:r w:rsidR="00EE033D">
        <w:rPr>
          <w:rFonts w:cstheme="minorHAnsi"/>
          <w:szCs w:val="20"/>
        </w:rPr>
        <w:t>and decision-making</w:t>
      </w:r>
      <w:r w:rsidR="00EE033D" w:rsidRPr="00D63B47">
        <w:rPr>
          <w:rFonts w:cstheme="minorHAnsi"/>
          <w:szCs w:val="20"/>
        </w:rPr>
        <w:t>.</w:t>
      </w:r>
    </w:p>
    <w:p w14:paraId="011C8FCC" w14:textId="3D8D8E13" w:rsidR="00963C9F" w:rsidRDefault="00963C9F" w:rsidP="00963C9F">
      <w:pPr>
        <w:spacing w:before="120" w:after="120" w:line="264" w:lineRule="auto"/>
        <w:jc w:val="both"/>
        <w:rPr>
          <w:rFonts w:cstheme="minorHAnsi"/>
          <w:szCs w:val="20"/>
        </w:rPr>
      </w:pPr>
      <w:r w:rsidRPr="00963C9F">
        <w:rPr>
          <w:rFonts w:cstheme="minorHAnsi"/>
          <w:szCs w:val="20"/>
        </w:rPr>
        <w:t xml:space="preserve">A tripartite Social Security Investment Committee was set up by Decision No. 010 of the LSSO Management Board, dated 6 March 2023. It is </w:t>
      </w:r>
      <w:r w:rsidRPr="00963C9F">
        <w:rPr>
          <w:rFonts w:cstheme="minorHAnsi"/>
          <w:szCs w:val="20"/>
          <w:lang w:val="en-IN"/>
        </w:rPr>
        <w:t xml:space="preserve">chaired by Vice Minister of Labour and Social Welfare and co-chaired by </w:t>
      </w:r>
      <w:r>
        <w:rPr>
          <w:rFonts w:cstheme="minorHAnsi"/>
          <w:szCs w:val="20"/>
          <w:lang w:val="en-IN"/>
        </w:rPr>
        <w:t>the</w:t>
      </w:r>
      <w:r w:rsidRPr="00963C9F">
        <w:rPr>
          <w:rFonts w:cstheme="minorHAnsi"/>
          <w:szCs w:val="20"/>
          <w:lang w:val="en-IN"/>
        </w:rPr>
        <w:t xml:space="preserve"> LSSO</w:t>
      </w:r>
      <w:r>
        <w:rPr>
          <w:rFonts w:cstheme="minorHAnsi"/>
          <w:szCs w:val="20"/>
          <w:lang w:val="en-IN"/>
        </w:rPr>
        <w:t xml:space="preserve"> Director-General</w:t>
      </w:r>
      <w:r w:rsidRPr="00963C9F">
        <w:rPr>
          <w:rFonts w:cstheme="minorHAnsi"/>
          <w:szCs w:val="20"/>
          <w:lang w:val="en-IN"/>
        </w:rPr>
        <w:t xml:space="preserve"> and </w:t>
      </w:r>
      <w:r>
        <w:rPr>
          <w:rFonts w:cstheme="minorHAnsi"/>
          <w:szCs w:val="20"/>
          <w:lang w:val="en-IN"/>
        </w:rPr>
        <w:t xml:space="preserve">the </w:t>
      </w:r>
      <w:r w:rsidRPr="00963C9F">
        <w:rPr>
          <w:rFonts w:cstheme="minorHAnsi"/>
          <w:szCs w:val="20"/>
          <w:lang w:val="en-IN"/>
        </w:rPr>
        <w:t>Ministry of Finance</w:t>
      </w:r>
      <w:r>
        <w:rPr>
          <w:rFonts w:cstheme="minorHAnsi"/>
          <w:szCs w:val="20"/>
          <w:lang w:val="en-IN"/>
        </w:rPr>
        <w:t>’s</w:t>
      </w:r>
      <w:r w:rsidRPr="00963C9F">
        <w:rPr>
          <w:rFonts w:cstheme="minorHAnsi"/>
          <w:szCs w:val="20"/>
          <w:lang w:val="en-IN"/>
        </w:rPr>
        <w:t xml:space="preserve"> State Budget Department. Other members include Bank of Lao PDR, National Socio-Economic Institute, LFTU,</w:t>
      </w:r>
      <w:r>
        <w:rPr>
          <w:rFonts w:cstheme="minorHAnsi"/>
          <w:szCs w:val="20"/>
          <w:lang w:val="en-IN"/>
        </w:rPr>
        <w:t xml:space="preserve"> LNCCI, and LSSO. </w:t>
      </w:r>
      <w:r>
        <w:rPr>
          <w:rFonts w:cstheme="minorHAnsi"/>
          <w:szCs w:val="20"/>
        </w:rPr>
        <w:t>Its r</w:t>
      </w:r>
      <w:r w:rsidRPr="00963C9F">
        <w:rPr>
          <w:rFonts w:cstheme="minorHAnsi"/>
          <w:szCs w:val="20"/>
        </w:rPr>
        <w:t>ights and responsibilities</w:t>
      </w:r>
      <w:r>
        <w:rPr>
          <w:rFonts w:cstheme="minorHAnsi"/>
          <w:szCs w:val="20"/>
        </w:rPr>
        <w:t xml:space="preserve"> are to (1) study,</w:t>
      </w:r>
      <w:r w:rsidRPr="00963C9F">
        <w:rPr>
          <w:rFonts w:cstheme="minorHAnsi"/>
          <w:szCs w:val="20"/>
        </w:rPr>
        <w:t xml:space="preserve"> develop and propose financing regulations to </w:t>
      </w:r>
      <w:r>
        <w:rPr>
          <w:rFonts w:cstheme="minorHAnsi"/>
          <w:szCs w:val="20"/>
        </w:rPr>
        <w:t xml:space="preserve">the </w:t>
      </w:r>
      <w:r w:rsidRPr="00963C9F">
        <w:rPr>
          <w:rFonts w:cstheme="minorHAnsi"/>
          <w:szCs w:val="20"/>
        </w:rPr>
        <w:t>Social Security Management Board for endorsement</w:t>
      </w:r>
      <w:r>
        <w:rPr>
          <w:rFonts w:cstheme="minorHAnsi"/>
          <w:szCs w:val="20"/>
        </w:rPr>
        <w:t>, and (2) c</w:t>
      </w:r>
      <w:r w:rsidRPr="00963C9F">
        <w:rPr>
          <w:rFonts w:cstheme="minorHAnsi"/>
          <w:szCs w:val="20"/>
        </w:rPr>
        <w:t xml:space="preserve">ollaborate with </w:t>
      </w:r>
      <w:r>
        <w:rPr>
          <w:rFonts w:cstheme="minorHAnsi"/>
          <w:szCs w:val="20"/>
        </w:rPr>
        <w:t>related</w:t>
      </w:r>
      <w:r w:rsidRPr="00963C9F">
        <w:rPr>
          <w:rFonts w:cstheme="minorHAnsi"/>
          <w:szCs w:val="20"/>
        </w:rPr>
        <w:t xml:space="preserve"> sectors on data collection and analysis, </w:t>
      </w:r>
      <w:r>
        <w:rPr>
          <w:rFonts w:cstheme="minorHAnsi"/>
          <w:szCs w:val="20"/>
        </w:rPr>
        <w:t xml:space="preserve">risk </w:t>
      </w:r>
      <w:r w:rsidRPr="00963C9F">
        <w:rPr>
          <w:rFonts w:cstheme="minorHAnsi"/>
          <w:szCs w:val="20"/>
        </w:rPr>
        <w:t xml:space="preserve">analysis, </w:t>
      </w:r>
      <w:r>
        <w:rPr>
          <w:rFonts w:cstheme="minorHAnsi"/>
          <w:szCs w:val="20"/>
        </w:rPr>
        <w:t>and</w:t>
      </w:r>
      <w:r w:rsidRPr="00963C9F">
        <w:rPr>
          <w:rFonts w:cstheme="minorHAnsi"/>
          <w:szCs w:val="20"/>
        </w:rPr>
        <w:t xml:space="preserve"> investment options</w:t>
      </w:r>
      <w:r>
        <w:rPr>
          <w:rFonts w:cstheme="minorHAnsi"/>
          <w:szCs w:val="20"/>
        </w:rPr>
        <w:t>.</w:t>
      </w:r>
    </w:p>
    <w:p w14:paraId="2B89AAC1" w14:textId="62310D1B" w:rsidR="00D63B47" w:rsidRDefault="00EE033D" w:rsidP="006753E3">
      <w:pPr>
        <w:spacing w:before="120" w:after="120" w:line="264" w:lineRule="auto"/>
        <w:jc w:val="both"/>
        <w:rPr>
          <w:rFonts w:cstheme="minorHAnsi"/>
          <w:szCs w:val="20"/>
        </w:rPr>
      </w:pPr>
      <w:r>
        <w:rPr>
          <w:rFonts w:cstheme="minorHAnsi"/>
          <w:szCs w:val="20"/>
        </w:rPr>
        <w:t>LSSO has requested ILO</w:t>
      </w:r>
      <w:r w:rsidR="00AA2B3D">
        <w:rPr>
          <w:rFonts w:cstheme="minorHAnsi"/>
          <w:szCs w:val="20"/>
        </w:rPr>
        <w:t>’s</w:t>
      </w:r>
      <w:r>
        <w:rPr>
          <w:rFonts w:cstheme="minorHAnsi"/>
          <w:szCs w:val="20"/>
        </w:rPr>
        <w:t xml:space="preserve"> support </w:t>
      </w:r>
      <w:r w:rsidRPr="00D63B47">
        <w:rPr>
          <w:rFonts w:cstheme="minorHAnsi"/>
          <w:szCs w:val="20"/>
        </w:rPr>
        <w:t>on</w:t>
      </w:r>
      <w:r>
        <w:rPr>
          <w:rFonts w:cstheme="minorHAnsi"/>
          <w:szCs w:val="20"/>
        </w:rPr>
        <w:t xml:space="preserve"> diversifying their</w:t>
      </w:r>
      <w:r w:rsidRPr="00D63B47">
        <w:rPr>
          <w:rFonts w:cstheme="minorHAnsi"/>
          <w:szCs w:val="20"/>
        </w:rPr>
        <w:t xml:space="preserve"> investment</w:t>
      </w:r>
      <w:r>
        <w:rPr>
          <w:rFonts w:cstheme="minorHAnsi"/>
          <w:szCs w:val="20"/>
        </w:rPr>
        <w:t>s of the long-term benefits fund</w:t>
      </w:r>
      <w:r w:rsidR="00AA2B3D">
        <w:rPr>
          <w:rFonts w:cstheme="minorHAnsi"/>
          <w:szCs w:val="20"/>
        </w:rPr>
        <w:t xml:space="preserve"> of the enterprise scheme</w:t>
      </w:r>
      <w:r>
        <w:rPr>
          <w:rFonts w:cstheme="minorHAnsi"/>
          <w:szCs w:val="20"/>
        </w:rPr>
        <w:t xml:space="preserve"> in alignment with </w:t>
      </w:r>
      <w:r w:rsidR="00A701A3">
        <w:rPr>
          <w:rFonts w:cstheme="minorHAnsi"/>
          <w:szCs w:val="20"/>
        </w:rPr>
        <w:t xml:space="preserve">national </w:t>
      </w:r>
      <w:r>
        <w:rPr>
          <w:rFonts w:cstheme="minorHAnsi"/>
          <w:szCs w:val="20"/>
        </w:rPr>
        <w:t>legislation and international standards.</w:t>
      </w:r>
      <w:r w:rsidRPr="00D63B47">
        <w:rPr>
          <w:rFonts w:cstheme="minorHAnsi"/>
          <w:szCs w:val="20"/>
        </w:rPr>
        <w:t xml:space="preserve"> </w:t>
      </w:r>
      <w:r>
        <w:rPr>
          <w:rFonts w:cstheme="minorHAnsi"/>
          <w:szCs w:val="20"/>
        </w:rPr>
        <w:t xml:space="preserve">They seek to </w:t>
      </w:r>
      <w:r w:rsidRPr="00D63B47">
        <w:rPr>
          <w:rFonts w:cstheme="minorHAnsi"/>
          <w:szCs w:val="20"/>
        </w:rPr>
        <w:t>improve</w:t>
      </w:r>
      <w:r>
        <w:rPr>
          <w:rFonts w:cstheme="minorHAnsi"/>
          <w:szCs w:val="20"/>
        </w:rPr>
        <w:t xml:space="preserve"> the</w:t>
      </w:r>
      <w:r w:rsidRPr="00D63B47">
        <w:rPr>
          <w:rFonts w:cstheme="minorHAnsi"/>
          <w:szCs w:val="20"/>
        </w:rPr>
        <w:t xml:space="preserve"> current investment management </w:t>
      </w:r>
      <w:r>
        <w:rPr>
          <w:rFonts w:cstheme="minorHAnsi"/>
          <w:szCs w:val="20"/>
        </w:rPr>
        <w:t>and</w:t>
      </w:r>
      <w:r w:rsidRPr="00D63B47">
        <w:rPr>
          <w:rFonts w:cstheme="minorHAnsi"/>
          <w:szCs w:val="20"/>
        </w:rPr>
        <w:t xml:space="preserve"> </w:t>
      </w:r>
      <w:r>
        <w:rPr>
          <w:rFonts w:cstheme="minorHAnsi"/>
          <w:szCs w:val="20"/>
        </w:rPr>
        <w:t>develop</w:t>
      </w:r>
      <w:r w:rsidRPr="00D63B47">
        <w:rPr>
          <w:rFonts w:cstheme="minorHAnsi"/>
          <w:szCs w:val="20"/>
        </w:rPr>
        <w:t xml:space="preserve"> an appropriate </w:t>
      </w:r>
      <w:r w:rsidR="007D32B0" w:rsidRPr="007D32B0">
        <w:rPr>
          <w:rFonts w:cstheme="minorHAnsi"/>
          <w:szCs w:val="20"/>
        </w:rPr>
        <w:t>framework</w:t>
      </w:r>
      <w:r w:rsidRPr="00D63B47">
        <w:rPr>
          <w:rFonts w:cstheme="minorHAnsi"/>
          <w:szCs w:val="20"/>
        </w:rPr>
        <w:t xml:space="preserve"> to use in </w:t>
      </w:r>
      <w:r>
        <w:rPr>
          <w:rFonts w:cstheme="minorHAnsi"/>
          <w:szCs w:val="20"/>
        </w:rPr>
        <w:t>decision-making. T</w:t>
      </w:r>
      <w:r w:rsidRPr="00D63B47">
        <w:rPr>
          <w:rFonts w:cstheme="minorHAnsi"/>
          <w:szCs w:val="20"/>
        </w:rPr>
        <w:t xml:space="preserve">o carry out this work, </w:t>
      </w:r>
      <w:r>
        <w:rPr>
          <w:rFonts w:cstheme="minorHAnsi"/>
          <w:szCs w:val="20"/>
        </w:rPr>
        <w:t xml:space="preserve">ILO seeks </w:t>
      </w:r>
      <w:r w:rsidRPr="00D63B47">
        <w:rPr>
          <w:rFonts w:cstheme="minorHAnsi"/>
          <w:szCs w:val="20"/>
        </w:rPr>
        <w:t>an experienced consultant</w:t>
      </w:r>
      <w:r w:rsidRPr="00EE033D">
        <w:rPr>
          <w:rFonts w:cstheme="minorHAnsi"/>
          <w:szCs w:val="20"/>
        </w:rPr>
        <w:t xml:space="preserve"> </w:t>
      </w:r>
      <w:r>
        <w:rPr>
          <w:rFonts w:cstheme="minorHAnsi"/>
          <w:szCs w:val="20"/>
        </w:rPr>
        <w:t xml:space="preserve">on social security </w:t>
      </w:r>
      <w:r w:rsidRPr="00D63B47">
        <w:rPr>
          <w:rFonts w:cstheme="minorHAnsi"/>
          <w:szCs w:val="20"/>
        </w:rPr>
        <w:t>investment</w:t>
      </w:r>
      <w:r>
        <w:rPr>
          <w:rFonts w:cstheme="minorHAnsi"/>
          <w:szCs w:val="20"/>
        </w:rPr>
        <w:t>s.</w:t>
      </w:r>
    </w:p>
    <w:p w14:paraId="22B5F877" w14:textId="77777777" w:rsidR="009F535B" w:rsidRPr="003A0611" w:rsidRDefault="009F535B" w:rsidP="003A0611">
      <w:pPr>
        <w:pStyle w:val="NormalWeb"/>
        <w:spacing w:before="120" w:after="120" w:line="264" w:lineRule="auto"/>
        <w:jc w:val="both"/>
        <w:rPr>
          <w:rFonts w:asciiTheme="minorHAnsi" w:eastAsiaTheme="minorHAnsi" w:hAnsiTheme="minorHAnsi" w:cstheme="minorHAnsi"/>
          <w:sz w:val="22"/>
          <w:szCs w:val="20"/>
          <w:lang w:val="en-GB" w:eastAsia="en-US"/>
        </w:rPr>
      </w:pPr>
    </w:p>
    <w:p w14:paraId="3A09A44E" w14:textId="79A5AB7D" w:rsidR="009F535B" w:rsidRPr="003A0611" w:rsidRDefault="00134CB4" w:rsidP="003A0611">
      <w:pPr>
        <w:tabs>
          <w:tab w:val="left" w:pos="3260"/>
        </w:tabs>
        <w:spacing w:before="120" w:after="120" w:line="264" w:lineRule="auto"/>
        <w:jc w:val="both"/>
        <w:rPr>
          <w:rFonts w:eastAsia="Times New Roman" w:cstheme="minorHAnsi"/>
          <w:b/>
          <w:color w:val="2F5496" w:themeColor="accent5" w:themeShade="BF"/>
          <w:sz w:val="24"/>
          <w:lang w:val="en-IN" w:eastAsia="en-GB"/>
        </w:rPr>
      </w:pPr>
      <w:r>
        <w:rPr>
          <w:rFonts w:eastAsia="Times New Roman" w:cstheme="minorHAnsi"/>
          <w:b/>
          <w:color w:val="2F5496" w:themeColor="accent5" w:themeShade="BF"/>
          <w:sz w:val="24"/>
          <w:lang w:val="en-IN" w:eastAsia="en-GB"/>
        </w:rPr>
        <w:t>Expected outputs</w:t>
      </w:r>
    </w:p>
    <w:p w14:paraId="5E6D110C" w14:textId="7F477C10" w:rsidR="00974EE4" w:rsidRPr="00E6484E" w:rsidRDefault="003A0611" w:rsidP="003A0611">
      <w:pPr>
        <w:spacing w:before="120" w:after="120" w:line="264" w:lineRule="auto"/>
        <w:jc w:val="both"/>
        <w:rPr>
          <w:rFonts w:cstheme="minorHAnsi"/>
          <w:szCs w:val="20"/>
        </w:rPr>
      </w:pPr>
      <w:r w:rsidRPr="003A0611">
        <w:rPr>
          <w:rFonts w:cstheme="minorHAnsi"/>
          <w:szCs w:val="20"/>
        </w:rPr>
        <w:t xml:space="preserve">The consultant is expected to </w:t>
      </w:r>
      <w:r w:rsidR="0028162B">
        <w:rPr>
          <w:rFonts w:cstheme="minorHAnsi"/>
          <w:szCs w:val="20"/>
        </w:rPr>
        <w:t xml:space="preserve">conduct a feasibility assessment and develop a draft </w:t>
      </w:r>
      <w:r w:rsidR="0028162B" w:rsidRPr="00E6484E">
        <w:rPr>
          <w:rFonts w:cstheme="minorHAnsi"/>
          <w:szCs w:val="20"/>
        </w:rPr>
        <w:t xml:space="preserve">investment strategy and </w:t>
      </w:r>
      <w:r w:rsidR="00E6484E" w:rsidRPr="00E6484E">
        <w:rPr>
          <w:rFonts w:cstheme="minorHAnsi"/>
          <w:szCs w:val="20"/>
        </w:rPr>
        <w:t xml:space="preserve">investment governance model </w:t>
      </w:r>
      <w:r w:rsidR="0028162B">
        <w:rPr>
          <w:rFonts w:cstheme="minorHAnsi"/>
          <w:szCs w:val="20"/>
        </w:rPr>
        <w:t xml:space="preserve">for the National Social Security Fund of Lao PDR. </w:t>
      </w:r>
      <w:r w:rsidR="0028162B" w:rsidRPr="003A0611">
        <w:rPr>
          <w:rFonts w:cstheme="minorHAnsi"/>
          <w:szCs w:val="20"/>
        </w:rPr>
        <w:t xml:space="preserve">The consultant </w:t>
      </w:r>
      <w:r w:rsidR="0028162B">
        <w:rPr>
          <w:rFonts w:cstheme="minorHAnsi"/>
          <w:szCs w:val="20"/>
        </w:rPr>
        <w:t xml:space="preserve">will be guided by the topics listed below, which will be finalised in discussion with ILO and LSSO prior to the </w:t>
      </w:r>
      <w:r w:rsidR="0028162B" w:rsidRPr="00E6484E">
        <w:rPr>
          <w:rFonts w:cstheme="minorHAnsi"/>
          <w:szCs w:val="20"/>
        </w:rPr>
        <w:t>assignment.</w:t>
      </w:r>
    </w:p>
    <w:p w14:paraId="1B4B67E6" w14:textId="36B6F96A" w:rsidR="0054183E" w:rsidRPr="00E6484E" w:rsidRDefault="008E10F3" w:rsidP="006D50BE">
      <w:pPr>
        <w:pStyle w:val="NormalWeb"/>
        <w:numPr>
          <w:ilvl w:val="0"/>
          <w:numId w:val="3"/>
        </w:numPr>
        <w:spacing w:before="120" w:after="120" w:line="264" w:lineRule="auto"/>
        <w:jc w:val="both"/>
        <w:rPr>
          <w:rFonts w:asciiTheme="minorHAnsi" w:eastAsiaTheme="minorHAnsi" w:hAnsiTheme="minorHAnsi" w:cstheme="minorHAnsi"/>
          <w:b/>
          <w:sz w:val="22"/>
          <w:szCs w:val="20"/>
          <w:lang w:val="en-GB" w:eastAsia="en-US"/>
        </w:rPr>
      </w:pPr>
      <w:r w:rsidRPr="00E6484E">
        <w:rPr>
          <w:rFonts w:asciiTheme="minorHAnsi" w:eastAsiaTheme="minorHAnsi" w:hAnsiTheme="minorHAnsi" w:cstheme="minorHAnsi"/>
          <w:b/>
          <w:sz w:val="22"/>
          <w:szCs w:val="20"/>
          <w:lang w:val="en-GB" w:eastAsia="en-US"/>
        </w:rPr>
        <w:t>Formulate an Investment Diversification Strategy for NSSF</w:t>
      </w:r>
    </w:p>
    <w:p w14:paraId="3956F133" w14:textId="77777777" w:rsidR="00F60AB3" w:rsidRPr="00E6484E" w:rsidRDefault="0033023D" w:rsidP="00F60AB3">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An assessment of the NSSF’s income and expenditure statements, balance sheets (composition of assets and liabilities), cashflow statements,</w:t>
      </w:r>
      <w:r w:rsidR="00404C74" w:rsidRPr="00E6484E">
        <w:rPr>
          <w:rFonts w:asciiTheme="minorHAnsi" w:eastAsiaTheme="minorHAnsi" w:hAnsiTheme="minorHAnsi" w:cstheme="minorHAnsi"/>
          <w:sz w:val="22"/>
          <w:szCs w:val="20"/>
          <w:lang w:val="en-GB" w:eastAsia="en-US"/>
        </w:rPr>
        <w:t xml:space="preserve"> actuarial valuation of NSSF</w:t>
      </w:r>
      <w:r w:rsidRPr="00E6484E">
        <w:rPr>
          <w:rFonts w:asciiTheme="minorHAnsi" w:eastAsiaTheme="minorHAnsi" w:hAnsiTheme="minorHAnsi" w:cstheme="minorHAnsi"/>
          <w:sz w:val="22"/>
          <w:szCs w:val="20"/>
          <w:lang w:val="en-GB" w:eastAsia="en-US"/>
        </w:rPr>
        <w:t xml:space="preserve"> and other financial documents shared by ILO and LSSO</w:t>
      </w:r>
      <w:r w:rsidR="00211749" w:rsidRPr="00E6484E">
        <w:rPr>
          <w:rFonts w:asciiTheme="minorHAnsi" w:eastAsiaTheme="minorHAnsi" w:hAnsiTheme="minorHAnsi" w:cstheme="minorHAnsi"/>
          <w:sz w:val="22"/>
          <w:szCs w:val="20"/>
          <w:lang w:val="en-GB" w:eastAsia="en-US"/>
        </w:rPr>
        <w:t xml:space="preserve"> to ascertain the return expectations of the fund</w:t>
      </w:r>
      <w:r w:rsidR="004E0F82" w:rsidRPr="00E6484E">
        <w:rPr>
          <w:rFonts w:asciiTheme="minorHAnsi" w:eastAsiaTheme="minorHAnsi" w:hAnsiTheme="minorHAnsi" w:cstheme="minorHAnsi"/>
          <w:sz w:val="22"/>
          <w:szCs w:val="20"/>
          <w:lang w:val="en-GB" w:eastAsia="en-US"/>
        </w:rPr>
        <w:t xml:space="preserve"> to provide adequate social security benefits</w:t>
      </w:r>
      <w:r w:rsidR="00211749" w:rsidRPr="00E6484E">
        <w:rPr>
          <w:rFonts w:asciiTheme="minorHAnsi" w:eastAsiaTheme="minorHAnsi" w:hAnsiTheme="minorHAnsi" w:cstheme="minorHAnsi"/>
          <w:sz w:val="22"/>
          <w:szCs w:val="20"/>
          <w:lang w:val="en-GB" w:eastAsia="en-US"/>
        </w:rPr>
        <w:t xml:space="preserve">. </w:t>
      </w:r>
    </w:p>
    <w:p w14:paraId="5C74E74F" w14:textId="0B1B7C6C" w:rsidR="0033023D" w:rsidRPr="00E6484E" w:rsidRDefault="00F60AB3" w:rsidP="00F60AB3">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Consider the Government’s investment priorities and objectives for the short-, medium- and long-term, and engage with Investment Committee and stakeholders, as necessary</w:t>
      </w:r>
      <w:r w:rsidR="00E6484E" w:rsidRPr="00E6484E">
        <w:rPr>
          <w:rFonts w:asciiTheme="minorHAnsi" w:eastAsiaTheme="minorHAnsi" w:hAnsiTheme="minorHAnsi" w:cstheme="minorHAnsi"/>
          <w:sz w:val="22"/>
          <w:szCs w:val="20"/>
          <w:lang w:val="en-GB" w:eastAsia="en-US"/>
        </w:rPr>
        <w:t>,</w:t>
      </w:r>
      <w:r w:rsidRPr="00E6484E">
        <w:rPr>
          <w:rFonts w:asciiTheme="minorHAnsi" w:eastAsiaTheme="minorHAnsi" w:hAnsiTheme="minorHAnsi" w:cstheme="minorHAnsi"/>
          <w:sz w:val="22"/>
          <w:szCs w:val="20"/>
          <w:lang w:val="en-GB" w:eastAsia="en-US"/>
        </w:rPr>
        <w:t xml:space="preserve"> to agree on return expectations of the fund, and risk tolerance levels.</w:t>
      </w:r>
    </w:p>
    <w:p w14:paraId="553D846A" w14:textId="10B5AE52" w:rsidR="004E0F82" w:rsidRPr="00E6484E" w:rsidRDefault="004E0F82" w:rsidP="004E0F82">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Based on the return expectations</w:t>
      </w:r>
      <w:r w:rsidR="00F60AB3" w:rsidRPr="00E6484E">
        <w:rPr>
          <w:rFonts w:asciiTheme="minorHAnsi" w:eastAsiaTheme="minorHAnsi" w:hAnsiTheme="minorHAnsi" w:cstheme="minorHAnsi"/>
          <w:sz w:val="22"/>
          <w:szCs w:val="20"/>
          <w:lang w:val="en-GB" w:eastAsia="en-US"/>
        </w:rPr>
        <w:t xml:space="preserve"> and risk tolerance</w:t>
      </w:r>
      <w:r w:rsidRPr="00E6484E">
        <w:rPr>
          <w:rFonts w:asciiTheme="minorHAnsi" w:eastAsiaTheme="minorHAnsi" w:hAnsiTheme="minorHAnsi" w:cstheme="minorHAnsi"/>
          <w:sz w:val="22"/>
          <w:szCs w:val="20"/>
          <w:lang w:val="en-GB" w:eastAsia="en-US"/>
        </w:rPr>
        <w:t xml:space="preserve"> of the NSSF, a</w:t>
      </w:r>
      <w:r w:rsidR="00404C74" w:rsidRPr="00E6484E">
        <w:rPr>
          <w:rFonts w:asciiTheme="minorHAnsi" w:eastAsiaTheme="minorHAnsi" w:hAnsiTheme="minorHAnsi" w:cstheme="minorHAnsi"/>
          <w:sz w:val="22"/>
          <w:szCs w:val="20"/>
          <w:lang w:val="en-GB" w:eastAsia="en-US"/>
        </w:rPr>
        <w:t>ssess the s</w:t>
      </w:r>
      <w:r w:rsidR="00FD3992" w:rsidRPr="00E6484E">
        <w:rPr>
          <w:rFonts w:asciiTheme="minorHAnsi" w:eastAsiaTheme="minorHAnsi" w:hAnsiTheme="minorHAnsi" w:cstheme="minorHAnsi"/>
          <w:sz w:val="22"/>
          <w:szCs w:val="20"/>
          <w:lang w:val="en-GB" w:eastAsia="en-US"/>
        </w:rPr>
        <w:t>tate of the domestic financial market</w:t>
      </w:r>
      <w:r w:rsidRPr="00E6484E">
        <w:rPr>
          <w:rFonts w:asciiTheme="minorHAnsi" w:eastAsiaTheme="minorHAnsi" w:hAnsiTheme="minorHAnsi" w:cstheme="minorHAnsi"/>
          <w:sz w:val="22"/>
          <w:szCs w:val="20"/>
          <w:lang w:val="en-GB" w:eastAsia="en-US"/>
        </w:rPr>
        <w:t xml:space="preserve">, </w:t>
      </w:r>
      <w:r w:rsidR="00FD3992" w:rsidRPr="00E6484E">
        <w:rPr>
          <w:rFonts w:asciiTheme="minorHAnsi" w:eastAsiaTheme="minorHAnsi" w:hAnsiTheme="minorHAnsi" w:cstheme="minorHAnsi"/>
          <w:sz w:val="22"/>
          <w:szCs w:val="20"/>
          <w:lang w:val="en-GB" w:eastAsia="en-US"/>
        </w:rPr>
        <w:t>current investment climate</w:t>
      </w:r>
      <w:r w:rsidR="0033023D" w:rsidRPr="00E6484E">
        <w:rPr>
          <w:rFonts w:asciiTheme="minorHAnsi" w:eastAsiaTheme="minorHAnsi" w:hAnsiTheme="minorHAnsi" w:cstheme="minorHAnsi"/>
          <w:sz w:val="22"/>
          <w:szCs w:val="20"/>
          <w:lang w:val="en-GB" w:eastAsia="en-US"/>
        </w:rPr>
        <w:t xml:space="preserve"> and </w:t>
      </w:r>
      <w:r w:rsidRPr="00E6484E">
        <w:rPr>
          <w:rFonts w:asciiTheme="minorHAnsi" w:eastAsiaTheme="minorHAnsi" w:hAnsiTheme="minorHAnsi" w:cstheme="minorHAnsi"/>
          <w:sz w:val="22"/>
          <w:szCs w:val="20"/>
          <w:lang w:val="en-GB" w:eastAsia="en-US"/>
        </w:rPr>
        <w:t>provide recommendations for</w:t>
      </w:r>
      <w:r w:rsidR="00FD3992" w:rsidRPr="00E6484E">
        <w:rPr>
          <w:rFonts w:asciiTheme="minorHAnsi" w:eastAsiaTheme="minorHAnsi" w:hAnsiTheme="minorHAnsi" w:cstheme="minorHAnsi"/>
          <w:sz w:val="22"/>
          <w:szCs w:val="20"/>
          <w:lang w:val="en-GB" w:eastAsia="en-US"/>
        </w:rPr>
        <w:t xml:space="preserve"> </w:t>
      </w:r>
      <w:r w:rsidR="00964318" w:rsidRPr="00E6484E">
        <w:rPr>
          <w:rFonts w:asciiTheme="minorHAnsi" w:eastAsiaTheme="minorHAnsi" w:hAnsiTheme="minorHAnsi" w:cstheme="minorHAnsi"/>
          <w:sz w:val="22"/>
          <w:szCs w:val="20"/>
          <w:lang w:val="en-GB" w:eastAsia="en-US"/>
        </w:rPr>
        <w:t xml:space="preserve">diversifying </w:t>
      </w:r>
      <w:r w:rsidR="0033023D" w:rsidRPr="00E6484E">
        <w:rPr>
          <w:rFonts w:asciiTheme="minorHAnsi" w:eastAsiaTheme="minorHAnsi" w:hAnsiTheme="minorHAnsi" w:cstheme="minorHAnsi"/>
          <w:sz w:val="22"/>
          <w:szCs w:val="20"/>
          <w:lang w:val="en-GB" w:eastAsia="en-US"/>
        </w:rPr>
        <w:t xml:space="preserve">NSSF </w:t>
      </w:r>
      <w:r w:rsidR="00FD3992" w:rsidRPr="00E6484E">
        <w:rPr>
          <w:rFonts w:asciiTheme="minorHAnsi" w:eastAsiaTheme="minorHAnsi" w:hAnsiTheme="minorHAnsi" w:cstheme="minorHAnsi"/>
          <w:sz w:val="22"/>
          <w:szCs w:val="20"/>
          <w:lang w:val="en-GB" w:eastAsia="en-US"/>
        </w:rPr>
        <w:t>investment</w:t>
      </w:r>
      <w:r w:rsidR="00964318" w:rsidRPr="00E6484E">
        <w:rPr>
          <w:rFonts w:asciiTheme="minorHAnsi" w:eastAsiaTheme="minorHAnsi" w:hAnsiTheme="minorHAnsi" w:cstheme="minorHAnsi"/>
          <w:sz w:val="22"/>
          <w:szCs w:val="20"/>
          <w:lang w:val="en-GB" w:eastAsia="en-US"/>
        </w:rPr>
        <w:t>s</w:t>
      </w:r>
      <w:r w:rsidR="00FD3992" w:rsidRPr="00E6484E">
        <w:rPr>
          <w:rFonts w:asciiTheme="minorHAnsi" w:eastAsiaTheme="minorHAnsi" w:hAnsiTheme="minorHAnsi" w:cstheme="minorHAnsi"/>
          <w:sz w:val="22"/>
          <w:szCs w:val="20"/>
          <w:lang w:val="en-GB" w:eastAsia="en-US"/>
        </w:rPr>
        <w:t xml:space="preserve"> in</w:t>
      </w:r>
      <w:r w:rsidR="00EF0DEA" w:rsidRPr="00E6484E">
        <w:rPr>
          <w:rFonts w:asciiTheme="minorHAnsi" w:eastAsiaTheme="minorHAnsi" w:hAnsiTheme="minorHAnsi" w:cstheme="minorHAnsi"/>
          <w:sz w:val="22"/>
          <w:szCs w:val="20"/>
          <w:lang w:val="en-GB" w:eastAsia="en-US"/>
        </w:rPr>
        <w:t>to several asset classes (fixed income, equity and alternatives) ba</w:t>
      </w:r>
      <w:r w:rsidR="0033023D" w:rsidRPr="00E6484E">
        <w:rPr>
          <w:rFonts w:asciiTheme="minorHAnsi" w:eastAsiaTheme="minorHAnsi" w:hAnsiTheme="minorHAnsi" w:cstheme="minorHAnsi"/>
          <w:sz w:val="22"/>
          <w:szCs w:val="20"/>
          <w:lang w:val="en-GB" w:eastAsia="en-US"/>
        </w:rPr>
        <w:t>s</w:t>
      </w:r>
      <w:r w:rsidR="00EF0DEA" w:rsidRPr="00E6484E">
        <w:rPr>
          <w:rFonts w:asciiTheme="minorHAnsi" w:eastAsiaTheme="minorHAnsi" w:hAnsiTheme="minorHAnsi" w:cstheme="minorHAnsi"/>
          <w:sz w:val="22"/>
          <w:szCs w:val="20"/>
          <w:lang w:val="en-GB" w:eastAsia="en-US"/>
        </w:rPr>
        <w:t>ed on the availability and security of assets.</w:t>
      </w:r>
      <w:r w:rsidR="00FD3992" w:rsidRPr="00E6484E">
        <w:rPr>
          <w:rFonts w:asciiTheme="minorHAnsi" w:eastAsiaTheme="minorHAnsi" w:hAnsiTheme="minorHAnsi" w:cstheme="minorHAnsi"/>
          <w:sz w:val="22"/>
          <w:szCs w:val="20"/>
          <w:lang w:val="en-GB" w:eastAsia="en-US"/>
        </w:rPr>
        <w:t xml:space="preserve"> </w:t>
      </w:r>
    </w:p>
    <w:p w14:paraId="3B3BF1B3" w14:textId="201B8537" w:rsidR="00FD3992" w:rsidRPr="00E6484E" w:rsidRDefault="004E0F82" w:rsidP="004E0F82">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 xml:space="preserve">Suggest asset classes which will support to diversify the current asset base from the </w:t>
      </w:r>
      <w:r w:rsidR="00FD3992" w:rsidRPr="00E6484E">
        <w:rPr>
          <w:rFonts w:asciiTheme="minorHAnsi" w:eastAsiaTheme="minorHAnsi" w:hAnsiTheme="minorHAnsi" w:cstheme="minorHAnsi"/>
          <w:sz w:val="22"/>
          <w:szCs w:val="20"/>
          <w:lang w:val="en-GB" w:eastAsia="en-US"/>
        </w:rPr>
        <w:t xml:space="preserve">Lao </w:t>
      </w:r>
      <w:r w:rsidR="00E6484E" w:rsidRPr="00E6484E">
        <w:rPr>
          <w:rFonts w:asciiTheme="minorHAnsi" w:eastAsiaTheme="minorHAnsi" w:hAnsiTheme="minorHAnsi" w:cstheme="minorHAnsi"/>
          <w:sz w:val="22"/>
          <w:szCs w:val="20"/>
          <w:lang w:val="en-GB" w:eastAsia="en-US"/>
        </w:rPr>
        <w:t>Kip</w:t>
      </w:r>
      <w:r w:rsidRPr="00E6484E">
        <w:rPr>
          <w:rFonts w:asciiTheme="minorHAnsi" w:eastAsiaTheme="minorHAnsi" w:hAnsiTheme="minorHAnsi" w:cstheme="minorHAnsi"/>
          <w:sz w:val="22"/>
          <w:szCs w:val="20"/>
          <w:lang w:val="en-GB" w:eastAsia="en-US"/>
        </w:rPr>
        <w:t xml:space="preserve"> into hard currency investments,</w:t>
      </w:r>
      <w:r w:rsidR="00FD3992" w:rsidRPr="00E6484E">
        <w:rPr>
          <w:rFonts w:asciiTheme="minorHAnsi" w:eastAsiaTheme="minorHAnsi" w:hAnsiTheme="minorHAnsi" w:cstheme="minorHAnsi"/>
          <w:sz w:val="22"/>
          <w:szCs w:val="20"/>
          <w:lang w:val="en-GB" w:eastAsia="en-US"/>
        </w:rPr>
        <w:t xml:space="preserve"> taking the current macroeconomic and currency instability into consideration</w:t>
      </w:r>
      <w:r w:rsidR="00F60AB3" w:rsidRPr="00E6484E">
        <w:rPr>
          <w:rFonts w:asciiTheme="minorHAnsi" w:eastAsiaTheme="minorHAnsi" w:hAnsiTheme="minorHAnsi" w:cstheme="minorHAnsi"/>
          <w:sz w:val="22"/>
          <w:szCs w:val="20"/>
          <w:lang w:val="en-GB" w:eastAsia="en-US"/>
        </w:rPr>
        <w:t xml:space="preserve">. </w:t>
      </w:r>
    </w:p>
    <w:p w14:paraId="44E3BA11" w14:textId="4C8B757C" w:rsidR="00F60AB3" w:rsidRPr="00E6484E" w:rsidRDefault="00F60AB3" w:rsidP="00F60AB3">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Draft the investment strategy of NSS</w:t>
      </w:r>
      <w:r w:rsidR="0099024D" w:rsidRPr="00E6484E">
        <w:rPr>
          <w:rFonts w:asciiTheme="minorHAnsi" w:eastAsiaTheme="minorHAnsi" w:hAnsiTheme="minorHAnsi" w:cstheme="minorHAnsi"/>
          <w:sz w:val="22"/>
          <w:szCs w:val="20"/>
          <w:lang w:val="en-GB" w:eastAsia="en-US"/>
        </w:rPr>
        <w:t>F</w:t>
      </w:r>
    </w:p>
    <w:p w14:paraId="6F65F1F1" w14:textId="47F45480" w:rsidR="00F60AB3" w:rsidRPr="00E6484E" w:rsidRDefault="00F60AB3" w:rsidP="00F60AB3">
      <w:pPr>
        <w:pStyle w:val="NormalWeb"/>
        <w:numPr>
          <w:ilvl w:val="1"/>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lastRenderedPageBreak/>
        <w:t>A roadmap for diversifying away from current investment regime to multi-class assets</w:t>
      </w:r>
      <w:r w:rsidR="00A33D1E" w:rsidRPr="00E6484E">
        <w:rPr>
          <w:rFonts w:asciiTheme="minorHAnsi" w:eastAsiaTheme="minorHAnsi" w:hAnsiTheme="minorHAnsi" w:cstheme="minorHAnsi"/>
          <w:sz w:val="22"/>
          <w:szCs w:val="20"/>
          <w:lang w:val="en-GB" w:eastAsia="en-US"/>
        </w:rPr>
        <w:t xml:space="preserve"> overtime to achieve the return expectations within risk tolerance levels.</w:t>
      </w:r>
    </w:p>
    <w:p w14:paraId="34FFAD9A" w14:textId="77777777" w:rsidR="00F60AB3" w:rsidRPr="00E6484E" w:rsidRDefault="00F60AB3" w:rsidP="00F60AB3">
      <w:pPr>
        <w:pStyle w:val="NormalWeb"/>
        <w:numPr>
          <w:ilvl w:val="1"/>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Recommendations for appropriate benchmark portfolios for measuring investment performance, and associated risks.</w:t>
      </w:r>
    </w:p>
    <w:p w14:paraId="52ECAC1D" w14:textId="69A6406F" w:rsidR="00F60AB3" w:rsidRPr="00E6484E" w:rsidRDefault="00F60AB3" w:rsidP="00E6484E">
      <w:pPr>
        <w:pStyle w:val="NormalWeb"/>
        <w:numPr>
          <w:ilvl w:val="1"/>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A draft Investment Policy Statement</w:t>
      </w:r>
      <w:r w:rsidR="00A33D1E" w:rsidRPr="00E6484E">
        <w:rPr>
          <w:rFonts w:asciiTheme="minorHAnsi" w:eastAsiaTheme="minorHAnsi" w:hAnsiTheme="minorHAnsi" w:cstheme="minorHAnsi"/>
          <w:sz w:val="22"/>
          <w:szCs w:val="20"/>
          <w:lang w:val="en-GB" w:eastAsia="en-US"/>
        </w:rPr>
        <w:t xml:space="preserve"> for consideration of the investment committee</w:t>
      </w:r>
      <w:r w:rsidRPr="00E6484E">
        <w:rPr>
          <w:rFonts w:asciiTheme="minorHAnsi" w:eastAsiaTheme="minorHAnsi" w:hAnsiTheme="minorHAnsi" w:cstheme="minorHAnsi"/>
          <w:sz w:val="22"/>
          <w:szCs w:val="20"/>
          <w:lang w:val="en-GB" w:eastAsia="en-US"/>
        </w:rPr>
        <w:t xml:space="preserve">, which puts together </w:t>
      </w:r>
      <w:r w:rsidR="00A33D1E" w:rsidRPr="00E6484E">
        <w:rPr>
          <w:rFonts w:asciiTheme="minorHAnsi" w:eastAsiaTheme="minorHAnsi" w:hAnsiTheme="minorHAnsi" w:cstheme="minorHAnsi"/>
          <w:sz w:val="22"/>
          <w:szCs w:val="20"/>
          <w:lang w:val="en-GB" w:eastAsia="en-US"/>
        </w:rPr>
        <w:t>the quantified investment targets, risk tolerance levels and suggested asset mix.</w:t>
      </w:r>
    </w:p>
    <w:p w14:paraId="3A7EF284" w14:textId="7B6209A9" w:rsidR="00110D95" w:rsidRPr="00E6484E" w:rsidRDefault="00A33D1E" w:rsidP="006D50BE">
      <w:pPr>
        <w:pStyle w:val="NormalWeb"/>
        <w:numPr>
          <w:ilvl w:val="0"/>
          <w:numId w:val="3"/>
        </w:numPr>
        <w:spacing w:before="120" w:after="120" w:line="264" w:lineRule="auto"/>
        <w:jc w:val="both"/>
        <w:rPr>
          <w:rFonts w:asciiTheme="minorHAnsi" w:eastAsiaTheme="minorHAnsi" w:hAnsiTheme="minorHAnsi" w:cstheme="minorHAnsi"/>
          <w:b/>
          <w:sz w:val="22"/>
          <w:szCs w:val="20"/>
          <w:lang w:val="en-GB" w:eastAsia="en-US"/>
        </w:rPr>
      </w:pPr>
      <w:r w:rsidRPr="00E6484E">
        <w:rPr>
          <w:rFonts w:asciiTheme="minorHAnsi" w:eastAsiaTheme="minorHAnsi" w:hAnsiTheme="minorHAnsi" w:cstheme="minorHAnsi"/>
          <w:b/>
          <w:sz w:val="22"/>
          <w:szCs w:val="20"/>
          <w:lang w:val="en-GB" w:eastAsia="en-US"/>
        </w:rPr>
        <w:t>Formulation of the investment governance model</w:t>
      </w:r>
    </w:p>
    <w:p w14:paraId="0438A361" w14:textId="6E73E4D9" w:rsidR="001A6CDD" w:rsidRPr="00E6484E" w:rsidRDefault="00A33D1E" w:rsidP="001A6CDD">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 xml:space="preserve">Assess the human and technical capacities of the NSSF and suggest an appropriate investment governance </w:t>
      </w:r>
      <w:r w:rsidR="001A6CDD" w:rsidRPr="00E6484E">
        <w:rPr>
          <w:rFonts w:asciiTheme="minorHAnsi" w:eastAsiaTheme="minorHAnsi" w:hAnsiTheme="minorHAnsi" w:cstheme="minorHAnsi"/>
          <w:sz w:val="22"/>
          <w:szCs w:val="20"/>
          <w:lang w:val="en-GB" w:eastAsia="en-US"/>
        </w:rPr>
        <w:t>structure for implementing the investment strategy</w:t>
      </w:r>
      <w:r w:rsidR="00C42C94">
        <w:rPr>
          <w:rFonts w:asciiTheme="minorHAnsi" w:eastAsiaTheme="minorHAnsi" w:hAnsiTheme="minorHAnsi" w:cstheme="minorHAnsi"/>
          <w:sz w:val="22"/>
          <w:szCs w:val="20"/>
          <w:lang w:val="en-GB" w:eastAsia="en-US"/>
        </w:rPr>
        <w:t>.</w:t>
      </w:r>
    </w:p>
    <w:p w14:paraId="5555E968" w14:textId="6F1F3990" w:rsidR="00F445C7" w:rsidRPr="00E6484E" w:rsidRDefault="001A6CDD" w:rsidP="001A6CDD">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Develop the terms of reference for the suggested investment governance</w:t>
      </w:r>
      <w:r w:rsidR="009524C3" w:rsidRPr="00E6484E">
        <w:rPr>
          <w:rFonts w:asciiTheme="minorHAnsi" w:eastAsiaTheme="minorHAnsi" w:hAnsiTheme="minorHAnsi" w:cstheme="minorHAnsi"/>
          <w:sz w:val="22"/>
          <w:szCs w:val="20"/>
          <w:lang w:val="en-GB" w:eastAsia="en-US"/>
        </w:rPr>
        <w:t xml:space="preserve"> </w:t>
      </w:r>
      <w:r w:rsidRPr="00E6484E">
        <w:rPr>
          <w:rFonts w:asciiTheme="minorHAnsi" w:eastAsiaTheme="minorHAnsi" w:hAnsiTheme="minorHAnsi" w:cstheme="minorHAnsi"/>
          <w:sz w:val="22"/>
          <w:szCs w:val="20"/>
          <w:lang w:val="en-GB" w:eastAsia="en-US"/>
        </w:rPr>
        <w:t xml:space="preserve">structure, </w:t>
      </w:r>
      <w:r w:rsidR="009524C3" w:rsidRPr="00E6484E">
        <w:rPr>
          <w:rFonts w:asciiTheme="minorHAnsi" w:eastAsiaTheme="minorHAnsi" w:hAnsiTheme="minorHAnsi" w:cstheme="minorHAnsi"/>
          <w:sz w:val="22"/>
          <w:szCs w:val="20"/>
          <w:lang w:val="en-GB" w:eastAsia="en-US"/>
        </w:rPr>
        <w:t xml:space="preserve">with clear roles and responsibilities of </w:t>
      </w:r>
      <w:r w:rsidRPr="00E6484E">
        <w:rPr>
          <w:rFonts w:asciiTheme="minorHAnsi" w:eastAsiaTheme="minorHAnsi" w:hAnsiTheme="minorHAnsi" w:cstheme="minorHAnsi"/>
          <w:sz w:val="22"/>
          <w:szCs w:val="20"/>
          <w:lang w:val="en-GB" w:eastAsia="en-US"/>
        </w:rPr>
        <w:t xml:space="preserve">the persons </w:t>
      </w:r>
      <w:r w:rsidR="009524C3" w:rsidRPr="00E6484E">
        <w:rPr>
          <w:rFonts w:asciiTheme="minorHAnsi" w:eastAsiaTheme="minorHAnsi" w:hAnsiTheme="minorHAnsi" w:cstheme="minorHAnsi"/>
          <w:sz w:val="22"/>
          <w:szCs w:val="20"/>
          <w:lang w:val="en-GB" w:eastAsia="en-US"/>
        </w:rPr>
        <w:t>involved</w:t>
      </w:r>
      <w:r w:rsidRPr="00E6484E">
        <w:rPr>
          <w:rFonts w:asciiTheme="minorHAnsi" w:eastAsiaTheme="minorHAnsi" w:hAnsiTheme="minorHAnsi" w:cstheme="minorHAnsi"/>
          <w:sz w:val="22"/>
          <w:szCs w:val="20"/>
          <w:lang w:val="en-GB" w:eastAsia="en-US"/>
        </w:rPr>
        <w:t>. Propose competencies required: human resources, infrastructure, and others, including delegation of functions (internal vs. external)</w:t>
      </w:r>
      <w:r w:rsidR="00C42C94">
        <w:rPr>
          <w:rFonts w:asciiTheme="minorHAnsi" w:eastAsiaTheme="minorHAnsi" w:hAnsiTheme="minorHAnsi" w:cstheme="minorHAnsi"/>
          <w:sz w:val="22"/>
          <w:szCs w:val="20"/>
          <w:lang w:val="en-GB" w:eastAsia="en-US"/>
        </w:rPr>
        <w:t>.</w:t>
      </w:r>
    </w:p>
    <w:p w14:paraId="159DD958" w14:textId="1BF03656" w:rsidR="00110D95" w:rsidRPr="00E6484E" w:rsidRDefault="00194379" w:rsidP="006D50BE">
      <w:pPr>
        <w:pStyle w:val="NormalWeb"/>
        <w:numPr>
          <w:ilvl w:val="0"/>
          <w:numId w:val="18"/>
        </w:numPr>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Draft m</w:t>
      </w:r>
      <w:r w:rsidR="00110D95" w:rsidRPr="00E6484E">
        <w:rPr>
          <w:rFonts w:asciiTheme="minorHAnsi" w:eastAsiaTheme="minorHAnsi" w:hAnsiTheme="minorHAnsi" w:cstheme="minorHAnsi"/>
          <w:sz w:val="22"/>
          <w:szCs w:val="20"/>
          <w:lang w:val="en-GB" w:eastAsia="en-US"/>
        </w:rPr>
        <w:t>onitoring framework on investment and reporting</w:t>
      </w:r>
      <w:r w:rsidR="00C42C94">
        <w:rPr>
          <w:rFonts w:asciiTheme="minorHAnsi" w:eastAsiaTheme="minorHAnsi" w:hAnsiTheme="minorHAnsi" w:cstheme="minorHAnsi"/>
          <w:sz w:val="22"/>
          <w:szCs w:val="20"/>
          <w:lang w:val="en-GB" w:eastAsia="en-US"/>
        </w:rPr>
        <w:t>.</w:t>
      </w:r>
    </w:p>
    <w:p w14:paraId="15AA264C" w14:textId="21FC1CC7" w:rsidR="00042241" w:rsidRPr="00A701A3" w:rsidRDefault="00042241" w:rsidP="00042241">
      <w:pPr>
        <w:pStyle w:val="NormalWeb"/>
        <w:spacing w:before="120" w:after="120" w:line="264" w:lineRule="auto"/>
        <w:jc w:val="both"/>
        <w:rPr>
          <w:rFonts w:asciiTheme="minorHAnsi" w:eastAsiaTheme="minorHAnsi" w:hAnsiTheme="minorHAnsi" w:cstheme="minorHAnsi"/>
          <w:sz w:val="22"/>
          <w:szCs w:val="20"/>
          <w:lang w:val="en-GB" w:eastAsia="en-US"/>
        </w:rPr>
      </w:pPr>
      <w:r w:rsidRPr="00E6484E">
        <w:rPr>
          <w:rFonts w:asciiTheme="minorHAnsi" w:eastAsiaTheme="minorHAnsi" w:hAnsiTheme="minorHAnsi" w:cstheme="minorHAnsi"/>
          <w:sz w:val="22"/>
          <w:szCs w:val="20"/>
          <w:lang w:val="en-GB" w:eastAsia="en-US"/>
        </w:rPr>
        <w:t xml:space="preserve">The consultant is expected to hold key informant interviews with key stakeholders, including but not limited to the Tripartite Investment Committee, key LSSO officials, ILO and other development partners in this space. The </w:t>
      </w:r>
      <w:r w:rsidR="0079451C" w:rsidRPr="00E6484E">
        <w:rPr>
          <w:rFonts w:asciiTheme="minorHAnsi" w:eastAsiaTheme="minorHAnsi" w:hAnsiTheme="minorHAnsi" w:cstheme="minorHAnsi"/>
          <w:sz w:val="22"/>
          <w:szCs w:val="20"/>
          <w:lang w:val="en-GB" w:eastAsia="en-US"/>
        </w:rPr>
        <w:t xml:space="preserve">report and </w:t>
      </w:r>
      <w:r w:rsidRPr="00E6484E">
        <w:rPr>
          <w:rFonts w:asciiTheme="minorHAnsi" w:eastAsiaTheme="minorHAnsi" w:hAnsiTheme="minorHAnsi" w:cstheme="minorHAnsi"/>
          <w:sz w:val="22"/>
          <w:szCs w:val="20"/>
          <w:lang w:val="en-GB" w:eastAsia="en-US"/>
        </w:rPr>
        <w:t>final recommendations will carefully consider and align with stakeholders’ inputs.</w:t>
      </w:r>
    </w:p>
    <w:p w14:paraId="3A139000" w14:textId="77777777" w:rsidR="007F128A" w:rsidRPr="003A0611" w:rsidRDefault="007F128A" w:rsidP="003A0611">
      <w:pPr>
        <w:pStyle w:val="NormalWeb"/>
        <w:spacing w:before="120" w:after="120" w:line="264" w:lineRule="auto"/>
        <w:jc w:val="both"/>
        <w:rPr>
          <w:rFonts w:asciiTheme="minorHAnsi" w:eastAsiaTheme="minorHAnsi" w:hAnsiTheme="minorHAnsi" w:cstheme="minorHAnsi"/>
          <w:sz w:val="22"/>
          <w:szCs w:val="20"/>
          <w:lang w:val="en-GB" w:eastAsia="en-US"/>
        </w:rPr>
      </w:pPr>
    </w:p>
    <w:p w14:paraId="63D3EC9E" w14:textId="77777777" w:rsidR="00A80C8A" w:rsidRPr="003A0611" w:rsidRDefault="00A80C8A" w:rsidP="00A80C8A">
      <w:pPr>
        <w:tabs>
          <w:tab w:val="left" w:pos="3260"/>
        </w:tabs>
        <w:spacing w:before="120" w:after="120" w:line="264" w:lineRule="auto"/>
        <w:jc w:val="both"/>
        <w:rPr>
          <w:rFonts w:eastAsia="Times New Roman" w:cstheme="minorHAnsi"/>
          <w:b/>
          <w:color w:val="2F5496" w:themeColor="accent5" w:themeShade="BF"/>
          <w:sz w:val="24"/>
          <w:lang w:val="en-IN" w:eastAsia="en-GB"/>
        </w:rPr>
      </w:pPr>
      <w:r w:rsidRPr="003A0611">
        <w:rPr>
          <w:rFonts w:eastAsia="Times New Roman" w:cstheme="minorHAnsi"/>
          <w:b/>
          <w:color w:val="2F5496" w:themeColor="accent5" w:themeShade="BF"/>
          <w:sz w:val="24"/>
          <w:lang w:val="en-IN" w:eastAsia="en-GB"/>
        </w:rPr>
        <w:t>Contract duration</w:t>
      </w:r>
    </w:p>
    <w:p w14:paraId="05EBC5A4" w14:textId="2DB25F89" w:rsidR="004A354E" w:rsidRDefault="00C42C94" w:rsidP="007C56E8">
      <w:pPr>
        <w:pStyle w:val="NormalWeb"/>
        <w:spacing w:before="120" w:after="120" w:line="264" w:lineRule="auto"/>
        <w:jc w:val="both"/>
        <w:rPr>
          <w:rFonts w:asciiTheme="minorHAnsi" w:eastAsiaTheme="minorHAnsi" w:hAnsiTheme="minorHAnsi" w:cstheme="minorHAnsi"/>
          <w:sz w:val="22"/>
          <w:szCs w:val="20"/>
          <w:lang w:val="en-GB" w:eastAsia="en-US"/>
        </w:rPr>
      </w:pPr>
      <w:r>
        <w:rPr>
          <w:rFonts w:asciiTheme="minorHAnsi" w:eastAsiaTheme="minorHAnsi" w:hAnsiTheme="minorHAnsi" w:cstheme="minorHAnsi"/>
          <w:sz w:val="22"/>
          <w:szCs w:val="20"/>
          <w:lang w:val="en-GB" w:eastAsia="en-US"/>
        </w:rPr>
        <w:t xml:space="preserve">The work is expected to take no longer than </w:t>
      </w:r>
      <w:r w:rsidR="00C02A2A">
        <w:rPr>
          <w:rFonts w:asciiTheme="minorHAnsi" w:eastAsiaTheme="minorHAnsi" w:hAnsiTheme="minorHAnsi" w:cstheme="minorHAnsi"/>
          <w:sz w:val="22"/>
          <w:szCs w:val="20"/>
          <w:lang w:val="en-GB" w:eastAsia="en-US"/>
        </w:rPr>
        <w:t xml:space="preserve">25 working days from </w:t>
      </w:r>
      <w:r>
        <w:rPr>
          <w:rFonts w:asciiTheme="minorHAnsi" w:eastAsiaTheme="minorHAnsi" w:hAnsiTheme="minorHAnsi" w:cstheme="minorHAnsi"/>
          <w:sz w:val="22"/>
          <w:szCs w:val="20"/>
          <w:lang w:val="en-GB" w:eastAsia="en-US"/>
        </w:rPr>
        <w:t>2</w:t>
      </w:r>
      <w:r w:rsidR="00A701A3">
        <w:rPr>
          <w:rFonts w:asciiTheme="minorHAnsi" w:eastAsiaTheme="minorHAnsi" w:hAnsiTheme="minorHAnsi" w:cstheme="minorHAnsi"/>
          <w:sz w:val="22"/>
          <w:szCs w:val="20"/>
          <w:lang w:val="en-GB" w:eastAsia="en-US"/>
        </w:rPr>
        <w:t xml:space="preserve">5 August </w:t>
      </w:r>
      <w:r w:rsidR="00C02A2A">
        <w:rPr>
          <w:rFonts w:asciiTheme="minorHAnsi" w:eastAsiaTheme="minorHAnsi" w:hAnsiTheme="minorHAnsi" w:cstheme="minorHAnsi"/>
          <w:sz w:val="22"/>
          <w:szCs w:val="20"/>
          <w:lang w:val="en-GB" w:eastAsia="en-US"/>
        </w:rPr>
        <w:t>to</w:t>
      </w:r>
      <w:r w:rsidR="00A80C8A" w:rsidRPr="003A0611">
        <w:rPr>
          <w:rFonts w:asciiTheme="minorHAnsi" w:eastAsiaTheme="minorHAnsi" w:hAnsiTheme="minorHAnsi" w:cstheme="minorHAnsi"/>
          <w:sz w:val="22"/>
          <w:szCs w:val="20"/>
          <w:lang w:val="en-GB" w:eastAsia="en-US"/>
        </w:rPr>
        <w:t xml:space="preserve"> </w:t>
      </w:r>
      <w:r w:rsidR="00A80C8A">
        <w:rPr>
          <w:rFonts w:asciiTheme="minorHAnsi" w:eastAsiaTheme="minorHAnsi" w:hAnsiTheme="minorHAnsi" w:cstheme="minorHAnsi"/>
          <w:sz w:val="22"/>
          <w:szCs w:val="20"/>
          <w:lang w:val="en-GB" w:eastAsia="en-US"/>
        </w:rPr>
        <w:t>15</w:t>
      </w:r>
      <w:r w:rsidR="00A80C8A" w:rsidRPr="003A0611">
        <w:rPr>
          <w:rFonts w:asciiTheme="minorHAnsi" w:eastAsiaTheme="minorHAnsi" w:hAnsiTheme="minorHAnsi" w:cstheme="minorHAnsi"/>
          <w:sz w:val="22"/>
          <w:szCs w:val="20"/>
          <w:lang w:val="en-GB" w:eastAsia="en-US"/>
        </w:rPr>
        <w:t xml:space="preserve"> </w:t>
      </w:r>
      <w:r w:rsidR="00A80C8A">
        <w:rPr>
          <w:rFonts w:asciiTheme="minorHAnsi" w:eastAsiaTheme="minorHAnsi" w:hAnsiTheme="minorHAnsi" w:cstheme="minorHAnsi"/>
          <w:sz w:val="22"/>
          <w:szCs w:val="20"/>
          <w:lang w:val="en-GB" w:eastAsia="en-US"/>
        </w:rPr>
        <w:t>November</w:t>
      </w:r>
      <w:r w:rsidR="00A80C8A" w:rsidRPr="003A0611">
        <w:rPr>
          <w:rFonts w:asciiTheme="minorHAnsi" w:eastAsiaTheme="minorHAnsi" w:hAnsiTheme="minorHAnsi" w:cstheme="minorHAnsi"/>
          <w:sz w:val="22"/>
          <w:szCs w:val="20"/>
          <w:lang w:val="en-GB" w:eastAsia="en-US"/>
        </w:rPr>
        <w:t xml:space="preserve"> 2024</w:t>
      </w:r>
      <w:r>
        <w:rPr>
          <w:rFonts w:asciiTheme="minorHAnsi" w:eastAsiaTheme="minorHAnsi" w:hAnsiTheme="minorHAnsi" w:cstheme="minorHAnsi"/>
          <w:sz w:val="22"/>
          <w:szCs w:val="20"/>
          <w:lang w:val="en-GB" w:eastAsia="en-US"/>
        </w:rPr>
        <w:t>.</w:t>
      </w:r>
      <w:r w:rsidRPr="00C42C94">
        <w:t xml:space="preserve"> </w:t>
      </w:r>
      <w:r w:rsidRPr="00C42C94">
        <w:rPr>
          <w:rFonts w:asciiTheme="minorHAnsi" w:eastAsiaTheme="minorHAnsi" w:hAnsiTheme="minorHAnsi" w:cstheme="minorHAnsi"/>
          <w:sz w:val="22"/>
          <w:szCs w:val="20"/>
          <w:lang w:val="en-GB" w:eastAsia="en-US"/>
        </w:rPr>
        <w:t xml:space="preserve">Please send your CVs and financial quotation to </w:t>
      </w:r>
      <w:hyperlink r:id="rId10" w:history="1">
        <w:r w:rsidRPr="004445E4">
          <w:rPr>
            <w:rStyle w:val="Hyperlink"/>
            <w:rFonts w:asciiTheme="minorHAnsi" w:eastAsiaTheme="minorHAnsi" w:hAnsiTheme="minorHAnsi" w:cstheme="minorHAnsi"/>
            <w:sz w:val="22"/>
            <w:szCs w:val="20"/>
            <w:lang w:val="en-GB" w:eastAsia="en-US"/>
          </w:rPr>
          <w:t>thongleck@ilo.org</w:t>
        </w:r>
      </w:hyperlink>
      <w:r>
        <w:rPr>
          <w:rFonts w:asciiTheme="minorHAnsi" w:eastAsiaTheme="minorHAnsi" w:hAnsiTheme="minorHAnsi" w:cstheme="minorHAnsi"/>
          <w:sz w:val="22"/>
          <w:szCs w:val="20"/>
          <w:lang w:val="en-GB" w:eastAsia="en-US"/>
        </w:rPr>
        <w:t xml:space="preserve"> </w:t>
      </w:r>
      <w:r w:rsidRPr="00C42C94">
        <w:rPr>
          <w:rFonts w:asciiTheme="minorHAnsi" w:eastAsiaTheme="minorHAnsi" w:hAnsiTheme="minorHAnsi" w:cstheme="minorHAnsi"/>
          <w:sz w:val="22"/>
          <w:szCs w:val="20"/>
          <w:lang w:val="en-GB" w:eastAsia="en-US"/>
        </w:rPr>
        <w:t xml:space="preserve">and </w:t>
      </w:r>
      <w:hyperlink r:id="rId11" w:history="1">
        <w:r w:rsidRPr="004445E4">
          <w:rPr>
            <w:rStyle w:val="Hyperlink"/>
            <w:rFonts w:asciiTheme="minorHAnsi" w:eastAsiaTheme="minorHAnsi" w:hAnsiTheme="minorHAnsi" w:cstheme="minorHAnsi"/>
            <w:sz w:val="22"/>
            <w:szCs w:val="20"/>
            <w:lang w:val="en-GB" w:eastAsia="en-US"/>
          </w:rPr>
          <w:t>del@ilo.org</w:t>
        </w:r>
      </w:hyperlink>
      <w:r>
        <w:rPr>
          <w:rFonts w:asciiTheme="minorHAnsi" w:eastAsiaTheme="minorHAnsi" w:hAnsiTheme="minorHAnsi" w:cstheme="minorHAnsi"/>
          <w:sz w:val="22"/>
          <w:szCs w:val="20"/>
          <w:lang w:val="en-GB" w:eastAsia="en-US"/>
        </w:rPr>
        <w:t xml:space="preserve"> </w:t>
      </w:r>
      <w:bookmarkStart w:id="0" w:name="_GoBack"/>
      <w:bookmarkEnd w:id="0"/>
      <w:r w:rsidRPr="00C42C94">
        <w:rPr>
          <w:rFonts w:asciiTheme="minorHAnsi" w:eastAsiaTheme="minorHAnsi" w:hAnsiTheme="minorHAnsi" w:cstheme="minorHAnsi"/>
          <w:sz w:val="22"/>
          <w:szCs w:val="20"/>
          <w:lang w:val="en-GB" w:eastAsia="en-US"/>
        </w:rPr>
        <w:t>by 20 August 2024.</w:t>
      </w:r>
    </w:p>
    <w:p w14:paraId="7732345C" w14:textId="5C0FB80A" w:rsidR="00963C9F" w:rsidRDefault="00963C9F" w:rsidP="007C56E8">
      <w:pPr>
        <w:pStyle w:val="NormalWeb"/>
        <w:spacing w:before="120" w:after="120" w:line="264" w:lineRule="auto"/>
        <w:jc w:val="both"/>
        <w:rPr>
          <w:rFonts w:asciiTheme="minorHAnsi" w:eastAsiaTheme="minorHAnsi" w:hAnsiTheme="minorHAnsi" w:cstheme="minorHAnsi"/>
          <w:sz w:val="22"/>
          <w:szCs w:val="20"/>
          <w:lang w:val="en-GB" w:eastAsia="en-US"/>
        </w:rPr>
      </w:pPr>
    </w:p>
    <w:p w14:paraId="62143E5C" w14:textId="3DA92A63" w:rsidR="00963C9F" w:rsidRDefault="00963C9F">
      <w:pPr>
        <w:rPr>
          <w:rFonts w:cstheme="minorHAnsi"/>
          <w:szCs w:val="20"/>
        </w:rPr>
      </w:pPr>
      <w:r>
        <w:rPr>
          <w:rFonts w:cstheme="minorHAnsi"/>
          <w:szCs w:val="20"/>
        </w:rPr>
        <w:br w:type="page"/>
      </w:r>
    </w:p>
    <w:p w14:paraId="0A6914F4" w14:textId="6DC695FC" w:rsidR="00963C9F" w:rsidRPr="00AC7A11" w:rsidRDefault="00963C9F" w:rsidP="00AC7A11">
      <w:pPr>
        <w:tabs>
          <w:tab w:val="left" w:pos="3260"/>
        </w:tabs>
        <w:spacing w:before="120" w:after="120" w:line="264" w:lineRule="auto"/>
        <w:jc w:val="both"/>
        <w:rPr>
          <w:rFonts w:eastAsia="Times New Roman" w:cstheme="minorHAnsi"/>
          <w:b/>
          <w:color w:val="2F5496" w:themeColor="accent5" w:themeShade="BF"/>
          <w:sz w:val="24"/>
          <w:lang w:eastAsia="en-GB"/>
        </w:rPr>
      </w:pPr>
      <w:r w:rsidRPr="00AC7A11">
        <w:rPr>
          <w:rFonts w:eastAsia="Times New Roman" w:cstheme="minorHAnsi"/>
          <w:b/>
          <w:color w:val="2F5496" w:themeColor="accent5" w:themeShade="BF"/>
          <w:sz w:val="24"/>
          <w:lang w:eastAsia="en-GB"/>
        </w:rPr>
        <w:lastRenderedPageBreak/>
        <w:t xml:space="preserve">Annex 1: Overview of NSSF benefits </w:t>
      </w:r>
    </w:p>
    <w:p w14:paraId="7C5591EE"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The scheme for enterprise workers was first established in 2001 (formerly the SSO scheme) while the civil servant scheme was set up later in 2008 (formerly the SASS scheme). The two schemes were merged in 2014 through the first Social Security Law and managed by the Social Security Board. This gave birth to the National Social Security Fund. The Social Security Law was amended in 2018 (Ref. No. 54/NA dated 27 June 2018).</w:t>
      </w:r>
    </w:p>
    <w:p w14:paraId="79CC47A0"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The NSSF covers 3 different categories of workers under what are known as the 3 schemes:</w:t>
      </w:r>
    </w:p>
    <w:p w14:paraId="2CE4C22F" w14:textId="77777777" w:rsidR="00963C9F" w:rsidRPr="00963C9F" w:rsidRDefault="00963C9F" w:rsidP="00963C9F">
      <w:pPr>
        <w:pStyle w:val="ListParagraph"/>
        <w:numPr>
          <w:ilvl w:val="0"/>
          <w:numId w:val="16"/>
        </w:numPr>
        <w:tabs>
          <w:tab w:val="left" w:pos="3260"/>
        </w:tabs>
        <w:spacing w:before="120" w:after="120" w:line="264" w:lineRule="auto"/>
        <w:contextualSpacing w:val="0"/>
        <w:jc w:val="both"/>
        <w:rPr>
          <w:rFonts w:cstheme="minorHAnsi"/>
        </w:rPr>
      </w:pPr>
      <w:r w:rsidRPr="00963C9F">
        <w:rPr>
          <w:rFonts w:cstheme="minorHAnsi"/>
          <w:b/>
          <w:bCs/>
        </w:rPr>
        <w:t>The Civil Servant scheme</w:t>
      </w:r>
      <w:r w:rsidRPr="00963C9F">
        <w:rPr>
          <w:rStyle w:val="FootnoteReference"/>
          <w:rFonts w:cstheme="minorHAnsi"/>
        </w:rPr>
        <w:footnoteReference w:id="1"/>
      </w:r>
      <w:r w:rsidRPr="00963C9F">
        <w:rPr>
          <w:rFonts w:cstheme="minorHAnsi"/>
        </w:rPr>
        <w:t xml:space="preserve">: This scheme is for civil servants who receive a salary and other allowances from the Government budget. For this category, the government contributes 8.5% and civil servants contribute 8% of their total earnings. </w:t>
      </w:r>
    </w:p>
    <w:p w14:paraId="5EFA3EB1" w14:textId="77777777" w:rsidR="00963C9F" w:rsidRPr="00963C9F" w:rsidRDefault="00963C9F" w:rsidP="00963C9F">
      <w:pPr>
        <w:pStyle w:val="ListParagraph"/>
        <w:numPr>
          <w:ilvl w:val="0"/>
          <w:numId w:val="16"/>
        </w:numPr>
        <w:tabs>
          <w:tab w:val="left" w:pos="3260"/>
        </w:tabs>
        <w:spacing w:before="120" w:after="120" w:line="264" w:lineRule="auto"/>
        <w:contextualSpacing w:val="0"/>
        <w:jc w:val="both"/>
        <w:rPr>
          <w:rFonts w:cstheme="minorHAnsi"/>
        </w:rPr>
      </w:pPr>
      <w:r w:rsidRPr="00963C9F">
        <w:rPr>
          <w:rFonts w:cstheme="minorHAnsi"/>
          <w:b/>
          <w:bCs/>
        </w:rPr>
        <w:t>Formal Enterprise scheme</w:t>
      </w:r>
      <w:r w:rsidRPr="00963C9F">
        <w:rPr>
          <w:rFonts w:cstheme="minorHAnsi"/>
        </w:rPr>
        <w:t xml:space="preserve">: This scheme is for workers employed by enterprises. For this category, the employer is mandated to contribute 6% whereas the employee contributes 5.5% of their total insurable earnings. </w:t>
      </w:r>
    </w:p>
    <w:p w14:paraId="4144004A" w14:textId="77777777" w:rsidR="00963C9F" w:rsidRPr="00963C9F" w:rsidRDefault="00963C9F" w:rsidP="00963C9F">
      <w:pPr>
        <w:pStyle w:val="ListParagraph"/>
        <w:numPr>
          <w:ilvl w:val="0"/>
          <w:numId w:val="16"/>
        </w:numPr>
        <w:tabs>
          <w:tab w:val="left" w:pos="3260"/>
        </w:tabs>
        <w:spacing w:before="120" w:after="120" w:line="264" w:lineRule="auto"/>
        <w:contextualSpacing w:val="0"/>
        <w:jc w:val="both"/>
        <w:rPr>
          <w:rFonts w:cstheme="minorHAnsi"/>
        </w:rPr>
      </w:pPr>
      <w:r w:rsidRPr="00963C9F">
        <w:rPr>
          <w:rFonts w:cstheme="minorHAnsi"/>
          <w:b/>
          <w:bCs/>
        </w:rPr>
        <w:t>Voluntary Insured Member scheme</w:t>
      </w:r>
      <w:r w:rsidRPr="00963C9F">
        <w:rPr>
          <w:rFonts w:cstheme="minorHAnsi"/>
        </w:rPr>
        <w:t>: Self-employed workers and other persons not belonging to the above two categories can voluntarily enrol in and contribute to the NSSF. They pay 9% of the insurable earnings. The latter is selected from a list of options ranging from the minimum wage to the ceiling.</w:t>
      </w:r>
    </w:p>
    <w:p w14:paraId="68CBF79D" w14:textId="5A33FBF9" w:rsidR="00963C9F" w:rsidRPr="00963C9F" w:rsidRDefault="00963C9F" w:rsidP="00963C9F">
      <w:pPr>
        <w:tabs>
          <w:tab w:val="left" w:pos="3260"/>
        </w:tabs>
        <w:spacing w:before="120" w:after="120" w:line="264" w:lineRule="auto"/>
        <w:jc w:val="both"/>
        <w:rPr>
          <w:rFonts w:cstheme="minorHAnsi"/>
        </w:rPr>
      </w:pPr>
      <w:r w:rsidRPr="00963C9F">
        <w:rPr>
          <w:rFonts w:cstheme="minorHAnsi"/>
        </w:rPr>
        <w:t>As of December 2023, NSSF had a total of 353,962 members and 513,315 dependants. It provides nine benefits including: health insurance benefit; employment injury or occupational diseases benefits; maternity benefit; sickness benefit; loss of working capacity benefit; pension benefit; death grant; survivor’s benefit; and unemployment benefit.</w:t>
      </w:r>
    </w:p>
    <w:p w14:paraId="73E72EFA"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1. Health Insurance Benefit</w:t>
      </w:r>
    </w:p>
    <w:p w14:paraId="07023113"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This is a cash benefit to ensure medical care services such as health examination, diagnosis, medical care, rehabilitation, pre- and post-natal services, and medical care for employment injuries or occupational diseases.</w:t>
      </w:r>
    </w:p>
    <w:p w14:paraId="7A2149F1"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2. Employment Injury or Occupational Diseases Benefits</w:t>
      </w:r>
    </w:p>
    <w:p w14:paraId="6A1E8A8D"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Employment injury or occupational diseases benefits are provision of cash benefits for medical care, sickness benefit, loss of working capacity benefit, death grant and survivor’s benefit in case of work accident or occupational diseases.</w:t>
      </w:r>
    </w:p>
    <w:p w14:paraId="30B6218F"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3. Maternity Benefit</w:t>
      </w:r>
    </w:p>
    <w:p w14:paraId="563238B9"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Maternity benefit is a cash benefit providing in case of giving birth, miscarriage, abortion or adoption of new-born baby aged less than three months old. It comprises maternity grant payable for each childbirth and maternity benefit which is paid monthly during childbirth leave. For the public sector, during the leave, besides the regular salary, the mother will also receive a birth grant payable for each child equal to 60% of the last salary.</w:t>
      </w:r>
    </w:p>
    <w:p w14:paraId="5FB6FFE0"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lastRenderedPageBreak/>
        <w:t>For the enterprise sector and voluntarily insured persons, the insured person or wife of an insured person that has been pregnant for at least 2 months receives a birth grant of 60% of the average insurable earnings during the last 6 months for each child.</w:t>
      </w:r>
    </w:p>
    <w:p w14:paraId="0A831915"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A female insured person working in a labour unit and voluntarily insured person who have childbirth, miscarriage, fatal death or adopt new-born baby aged 3 months or younger receive a monthly maternity benefit of 80% of average insurable earnings during the last 6 months for a duration of 105 days or 120 days if twins. The employer is responsible for the difference between insurable earnings and the total wages of the insured person. After the maternity benefit terminates, if the insured person is unhealthy and cannot resume work, she is entitled to sickness benefits.</w:t>
      </w:r>
    </w:p>
    <w:p w14:paraId="6265F2E6"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4. Sickness Benefit</w:t>
      </w:r>
    </w:p>
    <w:p w14:paraId="7C244B33"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Sickness benefit is an income replacement payable to the insured person whose salary is temporarily suspended during their medical care and rehabilitation affected from employment injury or occupational diseases, non-work-related accidents and illnesses, childbirth, miscarriage or fatal death.</w:t>
      </w:r>
    </w:p>
    <w:p w14:paraId="1765E814"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For the public sector, sickness benefit is calculated as 70% of insured person’s last salary for the first duration of up to 6 months. If he/she is still on leave for medical treatment or rehabilitation shall continue to receive sickness benefit equal to 60% of the last salary for up to 6 months as the last period. In case the health status of the beneficiary has not improved by then, he/she shall have health examination and assessment again with medical certification to be qualified for the entitlement of Loss of working capacity benefit.</w:t>
      </w:r>
    </w:p>
    <w:p w14:paraId="3B85072E"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5. Loss of Working Capacity Benefit</w:t>
      </w:r>
    </w:p>
    <w:p w14:paraId="79714739"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Loss of working capacity benefit is a cash benefit providing to the insured person who has an incapacity for work or mental impairment, loss of organs or limb(s) caused by employment injury or occupational diseases, other accidents or illnesses.</w:t>
      </w:r>
    </w:p>
    <w:p w14:paraId="09C65BE8"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For the public sector, the benefit is calculated based on his/her last salary before incapacity multiplied by the percentage of the loss of working capacity ranging from the lowest category of 40% loss to 80% loss. It is equal to 100% for the insured person suffering from loss of working capacity due to an employment injury and occupational diseases and 80% for non-work-related accidents or illnesses. If the beneficiary resumes work, he/she shall receive 50% of the benefit or 25% if retired.</w:t>
      </w:r>
    </w:p>
    <w:p w14:paraId="19C0930C"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6. Pension Benefit</w:t>
      </w:r>
    </w:p>
    <w:p w14:paraId="0BD5FCF1"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Pension benefit is a monthly cash benefit provided to the insured person who meets the qualifying conditions of old-age pension (those who do not meet the qualifying conditions receive a lump sum payment). For the public sector, qualifying conditions stipulate that the person must have reached the age of 60 years and has at least 25 years of service. Females can elect early retirement, but should be at least 55 years old. For those with more than 30 years of service and who are within 3 years of retirement age, or a person who is above 60 years old and within two years of reaching the qualifying conditions for pension, they are entitled to the pension benefit but the pension is reduced by 1% for each year that the person has not met the qualifying period or age.</w:t>
      </w:r>
    </w:p>
    <w:p w14:paraId="2B556B44" w14:textId="6ACD831B" w:rsidR="00963C9F" w:rsidRDefault="00963C9F" w:rsidP="00963C9F">
      <w:pPr>
        <w:tabs>
          <w:tab w:val="left" w:pos="3260"/>
        </w:tabs>
        <w:spacing w:before="120" w:after="120" w:line="264" w:lineRule="auto"/>
        <w:jc w:val="both"/>
        <w:rPr>
          <w:rFonts w:cstheme="minorHAnsi"/>
        </w:rPr>
      </w:pPr>
      <w:r w:rsidRPr="00963C9F">
        <w:rPr>
          <w:rFonts w:cstheme="minorHAnsi"/>
        </w:rPr>
        <w:t>Adjustment of pension benefit for the enterprise sector and voluntary insured persons is based on the fluctuation rate of the estimated average earnings of all insured persons in January of every year.</w:t>
      </w:r>
    </w:p>
    <w:p w14:paraId="692B857D" w14:textId="1A4C3079" w:rsidR="00963C9F" w:rsidRPr="00963C9F" w:rsidRDefault="00963C9F" w:rsidP="00963C9F">
      <w:pPr>
        <w:tabs>
          <w:tab w:val="left" w:pos="3260"/>
        </w:tabs>
        <w:spacing w:before="120" w:after="120" w:line="264" w:lineRule="auto"/>
        <w:jc w:val="both"/>
        <w:rPr>
          <w:rFonts w:cstheme="minorHAnsi"/>
          <w:b/>
        </w:rPr>
      </w:pPr>
      <w:r w:rsidRPr="00963C9F">
        <w:rPr>
          <w:rFonts w:cstheme="minorHAnsi"/>
          <w:b/>
        </w:rPr>
        <w:lastRenderedPageBreak/>
        <w:t xml:space="preserve">The long-term benefits fund for the private sector is mainly invested in bank deposits. There is no accumulated fund for the long-term benefits for the public sector, as pensions are paid based on annual requests from LSSO to the Ministry of Finance </w:t>
      </w:r>
      <w:r w:rsidRPr="00963C9F">
        <w:rPr>
          <w:rFonts w:cstheme="minorHAnsi"/>
          <w:b/>
          <w:i/>
        </w:rPr>
        <w:t>(to be confirmed)</w:t>
      </w:r>
      <w:r w:rsidRPr="00963C9F">
        <w:rPr>
          <w:rFonts w:cstheme="minorHAnsi"/>
          <w:b/>
        </w:rPr>
        <w:t xml:space="preserve"> and subsequent annual disbursements from the Treasury.</w:t>
      </w:r>
    </w:p>
    <w:p w14:paraId="0700CEA6"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7. Death Grant</w:t>
      </w:r>
    </w:p>
    <w:p w14:paraId="45045999"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Death grant is a grant provided to reduce the financial burden of funeral ceremony costs of the insured person, pensioner, person receiving loss of working capacity benefit and their family members including person receiving survivor’s benefit and caretaker who died.</w:t>
      </w:r>
    </w:p>
    <w:p w14:paraId="52EE0B43"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8. Survivor’s Benefit</w:t>
      </w:r>
    </w:p>
    <w:p w14:paraId="1132EA86"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Survivor’s benefit is a monthly cash benefit providing to spouses, children and parents of the deceased insured person. It is calculated for the public sector scheme as: A widow or widower receives 30% of the last insurable monthly earnings, pension or loss of working capacity benefits of the deceased person. Children receive 20% of the last insurable earnings, pension or invalidity benefits of the deceased person for each child. If there are many dependent children the total benefits shall not exceed 60%. A father or mother is entitled to receive 30% of the last insurable earnings, pension or loss of working capacity benefits of the deceased person. If both parents are beneficiaries, their total benefits shall not exceed 50%. The total of all types of survivors’ benefits must not exceed 80% of earnings.</w:t>
      </w:r>
    </w:p>
    <w:p w14:paraId="695BE0B5" w14:textId="77777777" w:rsidR="00963C9F" w:rsidRPr="00963C9F" w:rsidRDefault="00963C9F" w:rsidP="00963C9F">
      <w:pPr>
        <w:tabs>
          <w:tab w:val="left" w:pos="3260"/>
        </w:tabs>
        <w:spacing w:before="120" w:after="120" w:line="264" w:lineRule="auto"/>
        <w:jc w:val="both"/>
        <w:rPr>
          <w:rFonts w:cstheme="minorHAnsi"/>
          <w:i/>
          <w:iCs/>
        </w:rPr>
      </w:pPr>
      <w:r w:rsidRPr="00963C9F">
        <w:rPr>
          <w:rFonts w:cstheme="minorHAnsi"/>
          <w:i/>
          <w:iCs/>
        </w:rPr>
        <w:t>9. Unemployment Benefit</w:t>
      </w:r>
    </w:p>
    <w:p w14:paraId="04C86B48" w14:textId="77777777" w:rsidR="00963C9F" w:rsidRPr="00963C9F" w:rsidRDefault="00963C9F" w:rsidP="00963C9F">
      <w:pPr>
        <w:tabs>
          <w:tab w:val="left" w:pos="3260"/>
        </w:tabs>
        <w:spacing w:before="120" w:after="120" w:line="264" w:lineRule="auto"/>
        <w:jc w:val="both"/>
        <w:rPr>
          <w:rFonts w:cstheme="minorHAnsi"/>
        </w:rPr>
      </w:pPr>
      <w:r w:rsidRPr="00963C9F">
        <w:rPr>
          <w:rFonts w:cstheme="minorHAnsi"/>
        </w:rPr>
        <w:t>Unemployment benefit is an income replacement benefit payable monthly to an insured person, who is unemployed in any given period of time. For the enterprise sector, it is calculated as 60% of the average insurable earnings within the last 6 months prior to unemployment. The duration of the benefit varies between 3, 6, 8 or 12 months depending on the period for which contributions were paid.</w:t>
      </w:r>
    </w:p>
    <w:p w14:paraId="17C84F5F" w14:textId="77777777" w:rsidR="00963C9F" w:rsidRPr="00963C9F" w:rsidRDefault="00963C9F" w:rsidP="00963C9F">
      <w:pPr>
        <w:tabs>
          <w:tab w:val="left" w:pos="3260"/>
        </w:tabs>
        <w:spacing w:before="120" w:after="120" w:line="264" w:lineRule="auto"/>
        <w:jc w:val="both"/>
        <w:rPr>
          <w:rFonts w:cstheme="minorHAnsi"/>
        </w:rPr>
      </w:pPr>
    </w:p>
    <w:p w14:paraId="1DCBDF13" w14:textId="77777777" w:rsidR="00963C9F" w:rsidRPr="00A80C8A" w:rsidRDefault="00963C9F" w:rsidP="007C56E8">
      <w:pPr>
        <w:pStyle w:val="NormalWeb"/>
        <w:spacing w:before="120" w:after="120" w:line="264" w:lineRule="auto"/>
        <w:jc w:val="both"/>
        <w:rPr>
          <w:rFonts w:asciiTheme="minorHAnsi" w:eastAsiaTheme="minorHAnsi" w:hAnsiTheme="minorHAnsi" w:cstheme="minorHAnsi"/>
          <w:sz w:val="22"/>
          <w:szCs w:val="20"/>
          <w:lang w:val="en-GB" w:eastAsia="en-US"/>
        </w:rPr>
      </w:pPr>
    </w:p>
    <w:sectPr w:rsidR="00963C9F" w:rsidRPr="00A80C8A" w:rsidSect="00AC7A11">
      <w:headerReference w:type="default" r:id="rId12"/>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8D45F7" w16cex:dateUtc="2024-07-31T03:26:00Z"/>
  <w16cex:commentExtensible w16cex:durableId="25E97365" w16cex:dateUtc="2024-07-31T03:36:00Z"/>
  <w16cex:commentExtensible w16cex:durableId="1604C4D9" w16cex:dateUtc="2024-07-31T04: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E2F9" w14:textId="77777777" w:rsidR="00214240" w:rsidRDefault="00214240" w:rsidP="00E62B25">
      <w:pPr>
        <w:spacing w:after="0" w:line="240" w:lineRule="auto"/>
      </w:pPr>
      <w:r>
        <w:separator/>
      </w:r>
    </w:p>
  </w:endnote>
  <w:endnote w:type="continuationSeparator" w:id="0">
    <w:p w14:paraId="2B7CE343" w14:textId="77777777" w:rsidR="00214240" w:rsidRDefault="00214240" w:rsidP="00E6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4002EFF" w:usb1="C000E47F" w:usb2="00000009" w:usb3="00000000" w:csb0="000001FF" w:csb1="00000000"/>
  </w:font>
  <w:font w:name="Noto Sans">
    <w:altName w:val="Mangal"/>
    <w:panose1 w:val="020B0502040504020204"/>
    <w:charset w:val="00"/>
    <w:family w:val="swiss"/>
    <w:pitch w:val="variable"/>
    <w:sig w:usb0="E00882FF" w:usb1="400078FF" w:usb2="08000029"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2BD2F" w14:textId="77777777" w:rsidR="00214240" w:rsidRDefault="00214240" w:rsidP="00E62B25">
      <w:pPr>
        <w:spacing w:after="0" w:line="240" w:lineRule="auto"/>
      </w:pPr>
      <w:r>
        <w:separator/>
      </w:r>
    </w:p>
  </w:footnote>
  <w:footnote w:type="continuationSeparator" w:id="0">
    <w:p w14:paraId="40D7E4BC" w14:textId="77777777" w:rsidR="00214240" w:rsidRDefault="00214240" w:rsidP="00E62B25">
      <w:pPr>
        <w:spacing w:after="0" w:line="240" w:lineRule="auto"/>
      </w:pPr>
      <w:r>
        <w:continuationSeparator/>
      </w:r>
    </w:p>
  </w:footnote>
  <w:footnote w:id="1">
    <w:p w14:paraId="7A99BB69" w14:textId="77777777" w:rsidR="00963C9F" w:rsidRPr="00B078BE" w:rsidRDefault="00963C9F" w:rsidP="00963C9F">
      <w:pPr>
        <w:pStyle w:val="FootnoteText"/>
        <w:rPr>
          <w:rFonts w:asciiTheme="majorHAnsi" w:hAnsiTheme="majorHAnsi" w:cstheme="majorHAnsi"/>
        </w:rPr>
      </w:pPr>
      <w:r w:rsidRPr="00B078BE">
        <w:rPr>
          <w:rStyle w:val="FootnoteReference"/>
          <w:rFonts w:asciiTheme="majorHAnsi" w:hAnsiTheme="majorHAnsi" w:cstheme="majorHAnsi"/>
        </w:rPr>
        <w:footnoteRef/>
      </w:r>
      <w:r w:rsidRPr="00B078BE">
        <w:rPr>
          <w:rFonts w:asciiTheme="majorHAnsi" w:hAnsiTheme="majorHAnsi" w:cstheme="majorHAnsi"/>
        </w:rPr>
        <w:t xml:space="preserve"> Note that the LSSO refers to the 3 worker categories as the 3 schemes of the NSSF. The benefit schemes (e.g., unemployment, pension, maternity, etc.) are usually simply referred to as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93B1" w14:textId="581DA2D2" w:rsidR="00B34FDA" w:rsidRDefault="00E84B11">
    <w:pPr>
      <w:pStyle w:val="Header"/>
    </w:pPr>
    <w:r w:rsidRPr="00B34FDA">
      <w:rPr>
        <w:rFonts w:cstheme="minorHAnsi"/>
        <w:noProof/>
        <w:lang w:eastAsia="ko-KR"/>
      </w:rPr>
      <w:drawing>
        <wp:inline distT="0" distB="0" distL="0" distR="0" wp14:anchorId="67D2F3D0" wp14:editId="6ABD2E70">
          <wp:extent cx="1550355" cy="558800"/>
          <wp:effectExtent l="0" t="0" r="0" b="0"/>
          <wp:docPr id="9" name="Picture 9" descr="C:\Users\goursat\AppData\Local\Temp\7zO08E301B0\English Logo Organization Horizontal RGB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rsat\AppData\Local\Temp\7zO08E301B0\English Logo Organization Horizontal RGB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378" cy="575028"/>
                  </a:xfrm>
                  <a:prstGeom prst="rect">
                    <a:avLst/>
                  </a:prstGeom>
                  <a:noFill/>
                  <a:ln>
                    <a:noFill/>
                  </a:ln>
                </pic:spPr>
              </pic:pic>
            </a:graphicData>
          </a:graphic>
        </wp:inline>
      </w:drawing>
    </w:r>
  </w:p>
  <w:p w14:paraId="03FC28D6" w14:textId="77777777" w:rsidR="00AA6352" w:rsidRDefault="00AA6352">
    <w:pPr>
      <w:pStyle w:val="Header"/>
    </w:pPr>
  </w:p>
  <w:p w14:paraId="659EEF48" w14:textId="77777777" w:rsidR="00E84B11" w:rsidRDefault="00E8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957"/>
    <w:multiLevelType w:val="multilevel"/>
    <w:tmpl w:val="6B6A1C7E"/>
    <w:lvl w:ilvl="0">
      <w:start w:val="1"/>
      <w:numFmt w:val="decimal"/>
      <w:pStyle w:val="Heading1"/>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D6FB6"/>
    <w:multiLevelType w:val="hybridMultilevel"/>
    <w:tmpl w:val="110AFF06"/>
    <w:lvl w:ilvl="0" w:tplc="0409000F">
      <w:start w:val="1"/>
      <w:numFmt w:val="decimal"/>
      <w:lvlText w:val="%1."/>
      <w:lvlJc w:val="left"/>
      <w:pPr>
        <w:ind w:left="720" w:hanging="360"/>
      </w:pPr>
      <w:rPr>
        <w:rFonts w:hint="default"/>
        <w:b/>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45381"/>
    <w:multiLevelType w:val="hybridMultilevel"/>
    <w:tmpl w:val="A978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6F56"/>
    <w:multiLevelType w:val="hybridMultilevel"/>
    <w:tmpl w:val="FCFE4B32"/>
    <w:lvl w:ilvl="0" w:tplc="2E0246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03B5F"/>
    <w:multiLevelType w:val="multilevel"/>
    <w:tmpl w:val="F4D8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22C9B"/>
    <w:multiLevelType w:val="multilevel"/>
    <w:tmpl w:val="E8EA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764AA"/>
    <w:multiLevelType w:val="hybridMultilevel"/>
    <w:tmpl w:val="0588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0010F"/>
    <w:multiLevelType w:val="multilevel"/>
    <w:tmpl w:val="95C087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15D64"/>
    <w:multiLevelType w:val="multilevel"/>
    <w:tmpl w:val="1122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C01582"/>
    <w:multiLevelType w:val="multilevel"/>
    <w:tmpl w:val="8688B32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pStyle w:val="ListBullet2"/>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8868C7"/>
    <w:multiLevelType w:val="hybridMultilevel"/>
    <w:tmpl w:val="523AD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54F4A"/>
    <w:multiLevelType w:val="hybridMultilevel"/>
    <w:tmpl w:val="68B0C77E"/>
    <w:lvl w:ilvl="0" w:tplc="1BEC6E28">
      <w:start w:val="1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E54E1"/>
    <w:multiLevelType w:val="hybridMultilevel"/>
    <w:tmpl w:val="0838AC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91F5E"/>
    <w:multiLevelType w:val="hybridMultilevel"/>
    <w:tmpl w:val="2CCE4B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1943FB"/>
    <w:multiLevelType w:val="multilevel"/>
    <w:tmpl w:val="70CE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910CA7"/>
    <w:multiLevelType w:val="hybridMultilevel"/>
    <w:tmpl w:val="39886804"/>
    <w:lvl w:ilvl="0" w:tplc="04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EC14D2"/>
    <w:multiLevelType w:val="hybridMultilevel"/>
    <w:tmpl w:val="C3F8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755B9"/>
    <w:multiLevelType w:val="hybridMultilevel"/>
    <w:tmpl w:val="51E0590C"/>
    <w:lvl w:ilvl="0" w:tplc="2E0246CE">
      <w:start w:val="1"/>
      <w:numFmt w:val="bullet"/>
      <w:lvlText w:val=""/>
      <w:lvlJc w:val="left"/>
      <w:pPr>
        <w:ind w:left="990" w:hanging="360"/>
      </w:pPr>
      <w:rPr>
        <w:rFonts w:ascii="Symbol" w:hAnsi="Symbol"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8" w15:restartNumberingAfterBreak="0">
    <w:nsid w:val="7AF562A4"/>
    <w:multiLevelType w:val="multilevel"/>
    <w:tmpl w:val="DCF2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3"/>
  </w:num>
  <w:num w:numId="4">
    <w:abstractNumId w:val="17"/>
  </w:num>
  <w:num w:numId="5">
    <w:abstractNumId w:val="3"/>
  </w:num>
  <w:num w:numId="6">
    <w:abstractNumId w:val="8"/>
  </w:num>
  <w:num w:numId="7">
    <w:abstractNumId w:val="5"/>
  </w:num>
  <w:num w:numId="8">
    <w:abstractNumId w:val="6"/>
  </w:num>
  <w:num w:numId="9">
    <w:abstractNumId w:val="11"/>
  </w:num>
  <w:num w:numId="10">
    <w:abstractNumId w:val="1"/>
  </w:num>
  <w:num w:numId="11">
    <w:abstractNumId w:val="2"/>
  </w:num>
  <w:num w:numId="12">
    <w:abstractNumId w:val="12"/>
  </w:num>
  <w:num w:numId="13">
    <w:abstractNumId w:val="16"/>
  </w:num>
  <w:num w:numId="14">
    <w:abstractNumId w:val="7"/>
  </w:num>
  <w:num w:numId="15">
    <w:abstractNumId w:val="4"/>
  </w:num>
  <w:num w:numId="16">
    <w:abstractNumId w:val="10"/>
  </w:num>
  <w:num w:numId="17">
    <w:abstractNumId w:val="18"/>
  </w:num>
  <w:num w:numId="18">
    <w:abstractNumId w:val="15"/>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48"/>
    <w:rsid w:val="000003B8"/>
    <w:rsid w:val="00001845"/>
    <w:rsid w:val="00002161"/>
    <w:rsid w:val="000031CF"/>
    <w:rsid w:val="00005D67"/>
    <w:rsid w:val="000107B1"/>
    <w:rsid w:val="000135BA"/>
    <w:rsid w:val="00014C7F"/>
    <w:rsid w:val="00022F3B"/>
    <w:rsid w:val="000261A5"/>
    <w:rsid w:val="00026285"/>
    <w:rsid w:val="00026624"/>
    <w:rsid w:val="000313FD"/>
    <w:rsid w:val="000357F9"/>
    <w:rsid w:val="0004183F"/>
    <w:rsid w:val="00042241"/>
    <w:rsid w:val="0004449F"/>
    <w:rsid w:val="0005160F"/>
    <w:rsid w:val="0005238F"/>
    <w:rsid w:val="00054FC1"/>
    <w:rsid w:val="00057E82"/>
    <w:rsid w:val="00057F75"/>
    <w:rsid w:val="00062C9D"/>
    <w:rsid w:val="000631E1"/>
    <w:rsid w:val="0006725B"/>
    <w:rsid w:val="00067B1D"/>
    <w:rsid w:val="00070ABB"/>
    <w:rsid w:val="00074192"/>
    <w:rsid w:val="000837D0"/>
    <w:rsid w:val="00092513"/>
    <w:rsid w:val="0009329A"/>
    <w:rsid w:val="000946B5"/>
    <w:rsid w:val="000954C1"/>
    <w:rsid w:val="00096F61"/>
    <w:rsid w:val="000A05F0"/>
    <w:rsid w:val="000A0CCD"/>
    <w:rsid w:val="000A1155"/>
    <w:rsid w:val="000B1B8F"/>
    <w:rsid w:val="000B727F"/>
    <w:rsid w:val="000B7540"/>
    <w:rsid w:val="000C56B9"/>
    <w:rsid w:val="000C6311"/>
    <w:rsid w:val="000C7FE3"/>
    <w:rsid w:val="000D1AEF"/>
    <w:rsid w:val="000D39CD"/>
    <w:rsid w:val="000E1689"/>
    <w:rsid w:val="000F15FB"/>
    <w:rsid w:val="000F295F"/>
    <w:rsid w:val="000F656B"/>
    <w:rsid w:val="000F6F22"/>
    <w:rsid w:val="00102282"/>
    <w:rsid w:val="00102C6A"/>
    <w:rsid w:val="00107CDD"/>
    <w:rsid w:val="00110757"/>
    <w:rsid w:val="00110D95"/>
    <w:rsid w:val="001206D8"/>
    <w:rsid w:val="00134CB4"/>
    <w:rsid w:val="00140D56"/>
    <w:rsid w:val="00143D48"/>
    <w:rsid w:val="001450CA"/>
    <w:rsid w:val="00147221"/>
    <w:rsid w:val="00147D80"/>
    <w:rsid w:val="00151B92"/>
    <w:rsid w:val="00151E21"/>
    <w:rsid w:val="001543B1"/>
    <w:rsid w:val="001579DE"/>
    <w:rsid w:val="00160860"/>
    <w:rsid w:val="00164EF2"/>
    <w:rsid w:val="00164F51"/>
    <w:rsid w:val="00165105"/>
    <w:rsid w:val="00166A48"/>
    <w:rsid w:val="00167CAB"/>
    <w:rsid w:val="001745A3"/>
    <w:rsid w:val="00175F48"/>
    <w:rsid w:val="00180B10"/>
    <w:rsid w:val="00181927"/>
    <w:rsid w:val="0019030A"/>
    <w:rsid w:val="00191A12"/>
    <w:rsid w:val="00194379"/>
    <w:rsid w:val="001A13A1"/>
    <w:rsid w:val="001A555A"/>
    <w:rsid w:val="001A6CDD"/>
    <w:rsid w:val="001B0DD1"/>
    <w:rsid w:val="001B4084"/>
    <w:rsid w:val="001B63EF"/>
    <w:rsid w:val="001C1875"/>
    <w:rsid w:val="001C31D0"/>
    <w:rsid w:val="001D09D7"/>
    <w:rsid w:val="001D3521"/>
    <w:rsid w:val="001D515F"/>
    <w:rsid w:val="001D58B3"/>
    <w:rsid w:val="001D7582"/>
    <w:rsid w:val="001E5885"/>
    <w:rsid w:val="001E78FA"/>
    <w:rsid w:val="001F176B"/>
    <w:rsid w:val="001F4DE6"/>
    <w:rsid w:val="001F5152"/>
    <w:rsid w:val="00200012"/>
    <w:rsid w:val="00204511"/>
    <w:rsid w:val="002069EE"/>
    <w:rsid w:val="00211749"/>
    <w:rsid w:val="0021309E"/>
    <w:rsid w:val="00214240"/>
    <w:rsid w:val="00214E0B"/>
    <w:rsid w:val="00223CA1"/>
    <w:rsid w:val="002271B6"/>
    <w:rsid w:val="00231D45"/>
    <w:rsid w:val="002508D1"/>
    <w:rsid w:val="00253908"/>
    <w:rsid w:val="00256157"/>
    <w:rsid w:val="00256306"/>
    <w:rsid w:val="00256E91"/>
    <w:rsid w:val="00261CDD"/>
    <w:rsid w:val="0026244E"/>
    <w:rsid w:val="002646FA"/>
    <w:rsid w:val="00272FA1"/>
    <w:rsid w:val="002810E4"/>
    <w:rsid w:val="00281475"/>
    <w:rsid w:val="0028162B"/>
    <w:rsid w:val="00281667"/>
    <w:rsid w:val="002824C1"/>
    <w:rsid w:val="0028585C"/>
    <w:rsid w:val="00285F26"/>
    <w:rsid w:val="002905FD"/>
    <w:rsid w:val="00291E63"/>
    <w:rsid w:val="00294B6E"/>
    <w:rsid w:val="002A4894"/>
    <w:rsid w:val="002A69CC"/>
    <w:rsid w:val="002A7061"/>
    <w:rsid w:val="002A7714"/>
    <w:rsid w:val="002B5F48"/>
    <w:rsid w:val="002B64BD"/>
    <w:rsid w:val="002C061A"/>
    <w:rsid w:val="002C1ED3"/>
    <w:rsid w:val="002C31AC"/>
    <w:rsid w:val="002C5C09"/>
    <w:rsid w:val="002C7A8D"/>
    <w:rsid w:val="002D0237"/>
    <w:rsid w:val="002D0E7F"/>
    <w:rsid w:val="002D25B2"/>
    <w:rsid w:val="002D3ADA"/>
    <w:rsid w:val="002E205E"/>
    <w:rsid w:val="002E30FF"/>
    <w:rsid w:val="002E653D"/>
    <w:rsid w:val="002E7B66"/>
    <w:rsid w:val="00301162"/>
    <w:rsid w:val="00306C30"/>
    <w:rsid w:val="0030772F"/>
    <w:rsid w:val="00313B5D"/>
    <w:rsid w:val="003209D3"/>
    <w:rsid w:val="00324628"/>
    <w:rsid w:val="00324E0F"/>
    <w:rsid w:val="0033023D"/>
    <w:rsid w:val="00332E56"/>
    <w:rsid w:val="003413FA"/>
    <w:rsid w:val="00343BAE"/>
    <w:rsid w:val="00345F45"/>
    <w:rsid w:val="00351B02"/>
    <w:rsid w:val="003542A8"/>
    <w:rsid w:val="00357140"/>
    <w:rsid w:val="003617BA"/>
    <w:rsid w:val="00361BC0"/>
    <w:rsid w:val="003637F2"/>
    <w:rsid w:val="00376750"/>
    <w:rsid w:val="003767C5"/>
    <w:rsid w:val="00377F02"/>
    <w:rsid w:val="00380E1A"/>
    <w:rsid w:val="00391BC7"/>
    <w:rsid w:val="00392321"/>
    <w:rsid w:val="0039333C"/>
    <w:rsid w:val="0039437F"/>
    <w:rsid w:val="0039627B"/>
    <w:rsid w:val="003A05EC"/>
    <w:rsid w:val="003A0611"/>
    <w:rsid w:val="003A4ACF"/>
    <w:rsid w:val="003B3B0F"/>
    <w:rsid w:val="003B40EB"/>
    <w:rsid w:val="003B4617"/>
    <w:rsid w:val="003B66F2"/>
    <w:rsid w:val="003B69D4"/>
    <w:rsid w:val="003C26A5"/>
    <w:rsid w:val="003C354E"/>
    <w:rsid w:val="003C71DD"/>
    <w:rsid w:val="003D1199"/>
    <w:rsid w:val="003D20A8"/>
    <w:rsid w:val="003E1E64"/>
    <w:rsid w:val="003E7B9F"/>
    <w:rsid w:val="003F2212"/>
    <w:rsid w:val="003F740C"/>
    <w:rsid w:val="004042B8"/>
    <w:rsid w:val="00404C74"/>
    <w:rsid w:val="004071CF"/>
    <w:rsid w:val="00411FAE"/>
    <w:rsid w:val="004149AE"/>
    <w:rsid w:val="00414E16"/>
    <w:rsid w:val="004300DA"/>
    <w:rsid w:val="004303D0"/>
    <w:rsid w:val="00435091"/>
    <w:rsid w:val="004355CF"/>
    <w:rsid w:val="00435A73"/>
    <w:rsid w:val="00437C22"/>
    <w:rsid w:val="00440792"/>
    <w:rsid w:val="00441E2D"/>
    <w:rsid w:val="00443116"/>
    <w:rsid w:val="00452D33"/>
    <w:rsid w:val="00454E76"/>
    <w:rsid w:val="0046003E"/>
    <w:rsid w:val="00461B53"/>
    <w:rsid w:val="00462831"/>
    <w:rsid w:val="00463E4D"/>
    <w:rsid w:val="00471E36"/>
    <w:rsid w:val="00472DF7"/>
    <w:rsid w:val="0047332B"/>
    <w:rsid w:val="00474FC2"/>
    <w:rsid w:val="00476F0C"/>
    <w:rsid w:val="004977BD"/>
    <w:rsid w:val="00497A92"/>
    <w:rsid w:val="004A03B3"/>
    <w:rsid w:val="004A1B5F"/>
    <w:rsid w:val="004A354E"/>
    <w:rsid w:val="004B09B5"/>
    <w:rsid w:val="004B3DBC"/>
    <w:rsid w:val="004B43FB"/>
    <w:rsid w:val="004B5B33"/>
    <w:rsid w:val="004B73CF"/>
    <w:rsid w:val="004C1B8F"/>
    <w:rsid w:val="004C3686"/>
    <w:rsid w:val="004C711C"/>
    <w:rsid w:val="004D3618"/>
    <w:rsid w:val="004D4848"/>
    <w:rsid w:val="004D660A"/>
    <w:rsid w:val="004D6FE4"/>
    <w:rsid w:val="004E0F82"/>
    <w:rsid w:val="004E1E0E"/>
    <w:rsid w:val="0050512A"/>
    <w:rsid w:val="005067A4"/>
    <w:rsid w:val="00514975"/>
    <w:rsid w:val="00514DFB"/>
    <w:rsid w:val="00523516"/>
    <w:rsid w:val="00526768"/>
    <w:rsid w:val="00526C62"/>
    <w:rsid w:val="00526C71"/>
    <w:rsid w:val="00527A1B"/>
    <w:rsid w:val="0054183E"/>
    <w:rsid w:val="0054426C"/>
    <w:rsid w:val="005448D4"/>
    <w:rsid w:val="00547E99"/>
    <w:rsid w:val="00552312"/>
    <w:rsid w:val="00555351"/>
    <w:rsid w:val="00555AE5"/>
    <w:rsid w:val="00557A89"/>
    <w:rsid w:val="00557DD6"/>
    <w:rsid w:val="0056099E"/>
    <w:rsid w:val="00560E92"/>
    <w:rsid w:val="0056265E"/>
    <w:rsid w:val="00565414"/>
    <w:rsid w:val="005668FD"/>
    <w:rsid w:val="0057298C"/>
    <w:rsid w:val="00580AAD"/>
    <w:rsid w:val="00583F2C"/>
    <w:rsid w:val="00587FDB"/>
    <w:rsid w:val="0059082E"/>
    <w:rsid w:val="005A17DF"/>
    <w:rsid w:val="005A1F89"/>
    <w:rsid w:val="005B0B2E"/>
    <w:rsid w:val="005B3462"/>
    <w:rsid w:val="005B3AF8"/>
    <w:rsid w:val="005B6380"/>
    <w:rsid w:val="005C2B02"/>
    <w:rsid w:val="005C309C"/>
    <w:rsid w:val="005D04FF"/>
    <w:rsid w:val="005D24F5"/>
    <w:rsid w:val="005D2EE7"/>
    <w:rsid w:val="005E0017"/>
    <w:rsid w:val="005E1FA5"/>
    <w:rsid w:val="005E723F"/>
    <w:rsid w:val="005F0304"/>
    <w:rsid w:val="005F571D"/>
    <w:rsid w:val="005F6650"/>
    <w:rsid w:val="006074E6"/>
    <w:rsid w:val="006153F3"/>
    <w:rsid w:val="00616552"/>
    <w:rsid w:val="00617AEC"/>
    <w:rsid w:val="00620A8A"/>
    <w:rsid w:val="00622A4A"/>
    <w:rsid w:val="006230A1"/>
    <w:rsid w:val="006364C5"/>
    <w:rsid w:val="00640F2E"/>
    <w:rsid w:val="0064151F"/>
    <w:rsid w:val="006464D9"/>
    <w:rsid w:val="00655F18"/>
    <w:rsid w:val="00656B68"/>
    <w:rsid w:val="00656BF0"/>
    <w:rsid w:val="00657241"/>
    <w:rsid w:val="00657431"/>
    <w:rsid w:val="00660763"/>
    <w:rsid w:val="00660773"/>
    <w:rsid w:val="00663712"/>
    <w:rsid w:val="0066512E"/>
    <w:rsid w:val="006651D1"/>
    <w:rsid w:val="006753E3"/>
    <w:rsid w:val="00675B19"/>
    <w:rsid w:val="00682A7C"/>
    <w:rsid w:val="006838CF"/>
    <w:rsid w:val="006908EA"/>
    <w:rsid w:val="0069569C"/>
    <w:rsid w:val="006975C0"/>
    <w:rsid w:val="006A0B89"/>
    <w:rsid w:val="006A4D3F"/>
    <w:rsid w:val="006A5B35"/>
    <w:rsid w:val="006A7041"/>
    <w:rsid w:val="006B00B1"/>
    <w:rsid w:val="006B56D9"/>
    <w:rsid w:val="006B5EE2"/>
    <w:rsid w:val="006B74B1"/>
    <w:rsid w:val="006B785B"/>
    <w:rsid w:val="006C22BD"/>
    <w:rsid w:val="006C4B72"/>
    <w:rsid w:val="006D1D81"/>
    <w:rsid w:val="006D36E7"/>
    <w:rsid w:val="006D49D1"/>
    <w:rsid w:val="006D50BE"/>
    <w:rsid w:val="006D5CB3"/>
    <w:rsid w:val="006E169E"/>
    <w:rsid w:val="006E2492"/>
    <w:rsid w:val="006E39D6"/>
    <w:rsid w:val="006F03AB"/>
    <w:rsid w:val="006F0B1C"/>
    <w:rsid w:val="006F1287"/>
    <w:rsid w:val="006F6938"/>
    <w:rsid w:val="006F6E9F"/>
    <w:rsid w:val="007014F3"/>
    <w:rsid w:val="007108BB"/>
    <w:rsid w:val="00712C6A"/>
    <w:rsid w:val="00713E99"/>
    <w:rsid w:val="00722397"/>
    <w:rsid w:val="00732CA3"/>
    <w:rsid w:val="00732DB2"/>
    <w:rsid w:val="007330C1"/>
    <w:rsid w:val="00733BFE"/>
    <w:rsid w:val="007355D1"/>
    <w:rsid w:val="00742907"/>
    <w:rsid w:val="007434BD"/>
    <w:rsid w:val="0075077D"/>
    <w:rsid w:val="00750EA8"/>
    <w:rsid w:val="007519F8"/>
    <w:rsid w:val="00756803"/>
    <w:rsid w:val="00757AF7"/>
    <w:rsid w:val="0076005E"/>
    <w:rsid w:val="007602E4"/>
    <w:rsid w:val="00763CFE"/>
    <w:rsid w:val="00771BA1"/>
    <w:rsid w:val="00782BCD"/>
    <w:rsid w:val="00790423"/>
    <w:rsid w:val="0079451C"/>
    <w:rsid w:val="0079553E"/>
    <w:rsid w:val="0079730D"/>
    <w:rsid w:val="007A3BD0"/>
    <w:rsid w:val="007A7152"/>
    <w:rsid w:val="007B12FB"/>
    <w:rsid w:val="007B3D82"/>
    <w:rsid w:val="007B433B"/>
    <w:rsid w:val="007B50AC"/>
    <w:rsid w:val="007B64D6"/>
    <w:rsid w:val="007C39B7"/>
    <w:rsid w:val="007C56E8"/>
    <w:rsid w:val="007C7E74"/>
    <w:rsid w:val="007D32B0"/>
    <w:rsid w:val="007D3911"/>
    <w:rsid w:val="007D6BC8"/>
    <w:rsid w:val="007E2EF2"/>
    <w:rsid w:val="007E3F45"/>
    <w:rsid w:val="007E7510"/>
    <w:rsid w:val="007F128A"/>
    <w:rsid w:val="007F28A0"/>
    <w:rsid w:val="007F3CDB"/>
    <w:rsid w:val="007F4B1B"/>
    <w:rsid w:val="00800521"/>
    <w:rsid w:val="00803E3A"/>
    <w:rsid w:val="0080595C"/>
    <w:rsid w:val="008228E1"/>
    <w:rsid w:val="00823FD9"/>
    <w:rsid w:val="0083383B"/>
    <w:rsid w:val="008343ED"/>
    <w:rsid w:val="0083528B"/>
    <w:rsid w:val="00836B13"/>
    <w:rsid w:val="00836FC0"/>
    <w:rsid w:val="00840427"/>
    <w:rsid w:val="00855A94"/>
    <w:rsid w:val="008619C3"/>
    <w:rsid w:val="00867749"/>
    <w:rsid w:val="008731C5"/>
    <w:rsid w:val="008736F2"/>
    <w:rsid w:val="00874016"/>
    <w:rsid w:val="00881B0E"/>
    <w:rsid w:val="00892093"/>
    <w:rsid w:val="00892C30"/>
    <w:rsid w:val="008A2749"/>
    <w:rsid w:val="008A3C75"/>
    <w:rsid w:val="008A4516"/>
    <w:rsid w:val="008A6501"/>
    <w:rsid w:val="008B4D0B"/>
    <w:rsid w:val="008C41D8"/>
    <w:rsid w:val="008C4FF7"/>
    <w:rsid w:val="008C6BD7"/>
    <w:rsid w:val="008D178E"/>
    <w:rsid w:val="008D29FF"/>
    <w:rsid w:val="008D330F"/>
    <w:rsid w:val="008D3F82"/>
    <w:rsid w:val="008D5C23"/>
    <w:rsid w:val="008D771A"/>
    <w:rsid w:val="008D795B"/>
    <w:rsid w:val="008E10F3"/>
    <w:rsid w:val="008E7938"/>
    <w:rsid w:val="008F0E3F"/>
    <w:rsid w:val="008F786B"/>
    <w:rsid w:val="009040ED"/>
    <w:rsid w:val="00905E95"/>
    <w:rsid w:val="00906264"/>
    <w:rsid w:val="00906A7C"/>
    <w:rsid w:val="009115B1"/>
    <w:rsid w:val="00912862"/>
    <w:rsid w:val="00916878"/>
    <w:rsid w:val="009175FA"/>
    <w:rsid w:val="00923CA1"/>
    <w:rsid w:val="0092633E"/>
    <w:rsid w:val="009279DA"/>
    <w:rsid w:val="00933221"/>
    <w:rsid w:val="00934204"/>
    <w:rsid w:val="009355B8"/>
    <w:rsid w:val="0093654B"/>
    <w:rsid w:val="00936D83"/>
    <w:rsid w:val="00937702"/>
    <w:rsid w:val="009401F8"/>
    <w:rsid w:val="00943097"/>
    <w:rsid w:val="00944D78"/>
    <w:rsid w:val="00947A85"/>
    <w:rsid w:val="009524C3"/>
    <w:rsid w:val="00953095"/>
    <w:rsid w:val="0095498E"/>
    <w:rsid w:val="00956674"/>
    <w:rsid w:val="0096156D"/>
    <w:rsid w:val="0096221C"/>
    <w:rsid w:val="00963C9F"/>
    <w:rsid w:val="00964318"/>
    <w:rsid w:val="00965A03"/>
    <w:rsid w:val="009718A5"/>
    <w:rsid w:val="00974213"/>
    <w:rsid w:val="00974356"/>
    <w:rsid w:val="00974EE4"/>
    <w:rsid w:val="009778F8"/>
    <w:rsid w:val="009815C6"/>
    <w:rsid w:val="0099024D"/>
    <w:rsid w:val="00991ADE"/>
    <w:rsid w:val="009965C9"/>
    <w:rsid w:val="00996A81"/>
    <w:rsid w:val="009A4D29"/>
    <w:rsid w:val="009A5A51"/>
    <w:rsid w:val="009A5D09"/>
    <w:rsid w:val="009B2CFC"/>
    <w:rsid w:val="009C3F6F"/>
    <w:rsid w:val="009C7B1D"/>
    <w:rsid w:val="009E3B8F"/>
    <w:rsid w:val="009E47C1"/>
    <w:rsid w:val="009E48A7"/>
    <w:rsid w:val="009E639F"/>
    <w:rsid w:val="009E744A"/>
    <w:rsid w:val="009F535B"/>
    <w:rsid w:val="009F54E0"/>
    <w:rsid w:val="009F574C"/>
    <w:rsid w:val="009F5D2E"/>
    <w:rsid w:val="00A07969"/>
    <w:rsid w:val="00A11F4F"/>
    <w:rsid w:val="00A1324B"/>
    <w:rsid w:val="00A13DB6"/>
    <w:rsid w:val="00A15856"/>
    <w:rsid w:val="00A20531"/>
    <w:rsid w:val="00A225D6"/>
    <w:rsid w:val="00A33D1E"/>
    <w:rsid w:val="00A35DF1"/>
    <w:rsid w:val="00A360F2"/>
    <w:rsid w:val="00A4108F"/>
    <w:rsid w:val="00A41306"/>
    <w:rsid w:val="00A43A26"/>
    <w:rsid w:val="00A44338"/>
    <w:rsid w:val="00A466C1"/>
    <w:rsid w:val="00A53E33"/>
    <w:rsid w:val="00A61E00"/>
    <w:rsid w:val="00A62F8A"/>
    <w:rsid w:val="00A639FC"/>
    <w:rsid w:val="00A65C2F"/>
    <w:rsid w:val="00A701A3"/>
    <w:rsid w:val="00A72B97"/>
    <w:rsid w:val="00A77798"/>
    <w:rsid w:val="00A77F47"/>
    <w:rsid w:val="00A80C8A"/>
    <w:rsid w:val="00A819FE"/>
    <w:rsid w:val="00A92A80"/>
    <w:rsid w:val="00A93F76"/>
    <w:rsid w:val="00A94B94"/>
    <w:rsid w:val="00A94CA6"/>
    <w:rsid w:val="00A96DC0"/>
    <w:rsid w:val="00AA1555"/>
    <w:rsid w:val="00AA2B3D"/>
    <w:rsid w:val="00AA6352"/>
    <w:rsid w:val="00AB15B1"/>
    <w:rsid w:val="00AB1721"/>
    <w:rsid w:val="00AB2A37"/>
    <w:rsid w:val="00AB380B"/>
    <w:rsid w:val="00AB4EDB"/>
    <w:rsid w:val="00AB63E7"/>
    <w:rsid w:val="00AC1E40"/>
    <w:rsid w:val="00AC217E"/>
    <w:rsid w:val="00AC5B13"/>
    <w:rsid w:val="00AC72B9"/>
    <w:rsid w:val="00AC7A11"/>
    <w:rsid w:val="00AD255F"/>
    <w:rsid w:val="00AD645C"/>
    <w:rsid w:val="00AE1A26"/>
    <w:rsid w:val="00AE74E0"/>
    <w:rsid w:val="00B0164D"/>
    <w:rsid w:val="00B02087"/>
    <w:rsid w:val="00B0348E"/>
    <w:rsid w:val="00B05820"/>
    <w:rsid w:val="00B10D6B"/>
    <w:rsid w:val="00B134CC"/>
    <w:rsid w:val="00B22EC0"/>
    <w:rsid w:val="00B249C9"/>
    <w:rsid w:val="00B250E6"/>
    <w:rsid w:val="00B32752"/>
    <w:rsid w:val="00B33220"/>
    <w:rsid w:val="00B34FDA"/>
    <w:rsid w:val="00B354B3"/>
    <w:rsid w:val="00B35CBC"/>
    <w:rsid w:val="00B4077E"/>
    <w:rsid w:val="00B40DA5"/>
    <w:rsid w:val="00B47E1C"/>
    <w:rsid w:val="00B50D2C"/>
    <w:rsid w:val="00B511AD"/>
    <w:rsid w:val="00B52E1F"/>
    <w:rsid w:val="00B57810"/>
    <w:rsid w:val="00B65F71"/>
    <w:rsid w:val="00B67247"/>
    <w:rsid w:val="00B67635"/>
    <w:rsid w:val="00B67A53"/>
    <w:rsid w:val="00B706D6"/>
    <w:rsid w:val="00B779E5"/>
    <w:rsid w:val="00B96A3A"/>
    <w:rsid w:val="00BA2D89"/>
    <w:rsid w:val="00BA4EDA"/>
    <w:rsid w:val="00BA7112"/>
    <w:rsid w:val="00BA77B6"/>
    <w:rsid w:val="00BB1690"/>
    <w:rsid w:val="00BB2BC3"/>
    <w:rsid w:val="00BB6BB5"/>
    <w:rsid w:val="00BB71B8"/>
    <w:rsid w:val="00BB7711"/>
    <w:rsid w:val="00BB7742"/>
    <w:rsid w:val="00BC5366"/>
    <w:rsid w:val="00BC6358"/>
    <w:rsid w:val="00BC6784"/>
    <w:rsid w:val="00BD020A"/>
    <w:rsid w:val="00BD3D68"/>
    <w:rsid w:val="00BD475A"/>
    <w:rsid w:val="00BE0F19"/>
    <w:rsid w:val="00BE2222"/>
    <w:rsid w:val="00BE5743"/>
    <w:rsid w:val="00BF0322"/>
    <w:rsid w:val="00BF0B53"/>
    <w:rsid w:val="00BF1800"/>
    <w:rsid w:val="00BF1818"/>
    <w:rsid w:val="00C001D3"/>
    <w:rsid w:val="00C0124E"/>
    <w:rsid w:val="00C02A2A"/>
    <w:rsid w:val="00C04426"/>
    <w:rsid w:val="00C0592A"/>
    <w:rsid w:val="00C06EBE"/>
    <w:rsid w:val="00C11938"/>
    <w:rsid w:val="00C12AEF"/>
    <w:rsid w:val="00C20059"/>
    <w:rsid w:val="00C222EB"/>
    <w:rsid w:val="00C26077"/>
    <w:rsid w:val="00C27F0B"/>
    <w:rsid w:val="00C35904"/>
    <w:rsid w:val="00C42C94"/>
    <w:rsid w:val="00C4439B"/>
    <w:rsid w:val="00C52A8C"/>
    <w:rsid w:val="00C61C50"/>
    <w:rsid w:val="00C62B23"/>
    <w:rsid w:val="00C663D7"/>
    <w:rsid w:val="00C6760A"/>
    <w:rsid w:val="00C72F28"/>
    <w:rsid w:val="00C805D0"/>
    <w:rsid w:val="00C81357"/>
    <w:rsid w:val="00C83BFD"/>
    <w:rsid w:val="00C840AA"/>
    <w:rsid w:val="00C85C9D"/>
    <w:rsid w:val="00C85F79"/>
    <w:rsid w:val="00C86B7E"/>
    <w:rsid w:val="00C87CC3"/>
    <w:rsid w:val="00C938E3"/>
    <w:rsid w:val="00C96626"/>
    <w:rsid w:val="00CA17AC"/>
    <w:rsid w:val="00CB0365"/>
    <w:rsid w:val="00CB49A9"/>
    <w:rsid w:val="00CB799F"/>
    <w:rsid w:val="00CC0B86"/>
    <w:rsid w:val="00CC1E14"/>
    <w:rsid w:val="00CC3605"/>
    <w:rsid w:val="00CC3796"/>
    <w:rsid w:val="00CC7C34"/>
    <w:rsid w:val="00CD364A"/>
    <w:rsid w:val="00CD5D50"/>
    <w:rsid w:val="00CD66DD"/>
    <w:rsid w:val="00CE19B1"/>
    <w:rsid w:val="00CE2092"/>
    <w:rsid w:val="00CF0BC6"/>
    <w:rsid w:val="00CF0E5E"/>
    <w:rsid w:val="00D033B6"/>
    <w:rsid w:val="00D07EDD"/>
    <w:rsid w:val="00D1095E"/>
    <w:rsid w:val="00D13EAA"/>
    <w:rsid w:val="00D158AA"/>
    <w:rsid w:val="00D2005F"/>
    <w:rsid w:val="00D2308A"/>
    <w:rsid w:val="00D26F1B"/>
    <w:rsid w:val="00D27AD5"/>
    <w:rsid w:val="00D35720"/>
    <w:rsid w:val="00D35D2C"/>
    <w:rsid w:val="00D35E3E"/>
    <w:rsid w:val="00D36E89"/>
    <w:rsid w:val="00D4358E"/>
    <w:rsid w:val="00D43D84"/>
    <w:rsid w:val="00D51495"/>
    <w:rsid w:val="00D62BDB"/>
    <w:rsid w:val="00D63B47"/>
    <w:rsid w:val="00D66963"/>
    <w:rsid w:val="00D7067B"/>
    <w:rsid w:val="00D72425"/>
    <w:rsid w:val="00D73645"/>
    <w:rsid w:val="00D77328"/>
    <w:rsid w:val="00D909FE"/>
    <w:rsid w:val="00D936F0"/>
    <w:rsid w:val="00D945A2"/>
    <w:rsid w:val="00DA2783"/>
    <w:rsid w:val="00DB0FE0"/>
    <w:rsid w:val="00DB4F9A"/>
    <w:rsid w:val="00DC21B2"/>
    <w:rsid w:val="00DC7509"/>
    <w:rsid w:val="00DD00E9"/>
    <w:rsid w:val="00DD4AE5"/>
    <w:rsid w:val="00DE4618"/>
    <w:rsid w:val="00DF2033"/>
    <w:rsid w:val="00DF27F0"/>
    <w:rsid w:val="00E05D77"/>
    <w:rsid w:val="00E23974"/>
    <w:rsid w:val="00E245F9"/>
    <w:rsid w:val="00E25848"/>
    <w:rsid w:val="00E31BC0"/>
    <w:rsid w:val="00E35A99"/>
    <w:rsid w:val="00E36C5D"/>
    <w:rsid w:val="00E4237A"/>
    <w:rsid w:val="00E52CA4"/>
    <w:rsid w:val="00E540EF"/>
    <w:rsid w:val="00E548B3"/>
    <w:rsid w:val="00E62B25"/>
    <w:rsid w:val="00E6484E"/>
    <w:rsid w:val="00E64BF1"/>
    <w:rsid w:val="00E6520F"/>
    <w:rsid w:val="00E70668"/>
    <w:rsid w:val="00E70D67"/>
    <w:rsid w:val="00E70DEC"/>
    <w:rsid w:val="00E70FBA"/>
    <w:rsid w:val="00E71D28"/>
    <w:rsid w:val="00E75B4C"/>
    <w:rsid w:val="00E75C7C"/>
    <w:rsid w:val="00E768BD"/>
    <w:rsid w:val="00E830F3"/>
    <w:rsid w:val="00E84B11"/>
    <w:rsid w:val="00E86F5F"/>
    <w:rsid w:val="00E90040"/>
    <w:rsid w:val="00E90DA4"/>
    <w:rsid w:val="00EA0DEA"/>
    <w:rsid w:val="00EA4768"/>
    <w:rsid w:val="00EA5971"/>
    <w:rsid w:val="00EB3032"/>
    <w:rsid w:val="00EB35EE"/>
    <w:rsid w:val="00EB48DB"/>
    <w:rsid w:val="00EB6580"/>
    <w:rsid w:val="00EB74EE"/>
    <w:rsid w:val="00ED6774"/>
    <w:rsid w:val="00EE033D"/>
    <w:rsid w:val="00EE0348"/>
    <w:rsid w:val="00EE448D"/>
    <w:rsid w:val="00EE587C"/>
    <w:rsid w:val="00EE7B12"/>
    <w:rsid w:val="00EF0DEA"/>
    <w:rsid w:val="00EF66B7"/>
    <w:rsid w:val="00EF66BD"/>
    <w:rsid w:val="00F03EB3"/>
    <w:rsid w:val="00F0674D"/>
    <w:rsid w:val="00F12CC3"/>
    <w:rsid w:val="00F149AA"/>
    <w:rsid w:val="00F14EA9"/>
    <w:rsid w:val="00F15341"/>
    <w:rsid w:val="00F17964"/>
    <w:rsid w:val="00F17EBE"/>
    <w:rsid w:val="00F26766"/>
    <w:rsid w:val="00F37310"/>
    <w:rsid w:val="00F37ECD"/>
    <w:rsid w:val="00F409B2"/>
    <w:rsid w:val="00F4189F"/>
    <w:rsid w:val="00F41EC1"/>
    <w:rsid w:val="00F443BA"/>
    <w:rsid w:val="00F4456F"/>
    <w:rsid w:val="00F445C7"/>
    <w:rsid w:val="00F538D2"/>
    <w:rsid w:val="00F552EE"/>
    <w:rsid w:val="00F60561"/>
    <w:rsid w:val="00F60AB3"/>
    <w:rsid w:val="00F63870"/>
    <w:rsid w:val="00F64AC1"/>
    <w:rsid w:val="00F83572"/>
    <w:rsid w:val="00F84449"/>
    <w:rsid w:val="00F845B8"/>
    <w:rsid w:val="00F866D6"/>
    <w:rsid w:val="00FA5E24"/>
    <w:rsid w:val="00FC34A1"/>
    <w:rsid w:val="00FC4DA5"/>
    <w:rsid w:val="00FC58B9"/>
    <w:rsid w:val="00FD0642"/>
    <w:rsid w:val="00FD3992"/>
    <w:rsid w:val="00FD3C06"/>
    <w:rsid w:val="00FD514A"/>
    <w:rsid w:val="00FE7838"/>
    <w:rsid w:val="00FF057D"/>
    <w:rsid w:val="00FF13A7"/>
    <w:rsid w:val="00FF7A68"/>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58E6"/>
  <w15:chartTrackingRefBased/>
  <w15:docId w15:val="{4F1BA7EB-C51F-45A9-8B07-484CF7C2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E76"/>
    <w:rPr>
      <w:lang w:val="en-GB"/>
    </w:rPr>
  </w:style>
  <w:style w:type="paragraph" w:styleId="Heading1">
    <w:name w:val="heading 1"/>
    <w:basedOn w:val="Normal"/>
    <w:next w:val="Normal"/>
    <w:link w:val="Heading1Char"/>
    <w:uiPriority w:val="9"/>
    <w:qFormat/>
    <w:rsid w:val="00454E76"/>
    <w:pPr>
      <w:keepNext/>
      <w:keepLines/>
      <w:numPr>
        <w:numId w:val="1"/>
      </w:numPr>
      <w:spacing w:before="240" w:after="240" w:line="240" w:lineRule="auto"/>
      <w:outlineLvl w:val="0"/>
    </w:pPr>
    <w:rPr>
      <w:rFonts w:ascii="Calibri" w:eastAsia="Times New Roman" w:hAnsi="Calibri" w:cs="Calibri"/>
      <w:b/>
      <w:sz w:val="28"/>
      <w:szCs w:val="28"/>
      <w:lang w:val="en-US"/>
    </w:rPr>
  </w:style>
  <w:style w:type="paragraph" w:styleId="Heading2">
    <w:name w:val="heading 2"/>
    <w:basedOn w:val="Normal"/>
    <w:next w:val="Normal"/>
    <w:link w:val="Heading2Char"/>
    <w:uiPriority w:val="9"/>
    <w:semiHidden/>
    <w:unhideWhenUsed/>
    <w:qFormat/>
    <w:rsid w:val="001C18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Lapis Bulleted List,Dot pt,F5 List Paragraph,List Paragraph1,No Spacing1,List Paragraph Char Char Char,Indicator Text,Numbered Para 1,Bullet 1,List Paragraph12,Bullet Points,MAIN CONTENT,Bullets,Ha"/>
    <w:basedOn w:val="Normal"/>
    <w:link w:val="ListParagraphChar"/>
    <w:qFormat/>
    <w:rsid w:val="00165105"/>
    <w:pPr>
      <w:ind w:left="720"/>
      <w:contextualSpacing/>
    </w:pPr>
  </w:style>
  <w:style w:type="table" w:styleId="TableGrid">
    <w:name w:val="Table Grid"/>
    <w:basedOn w:val="TableNormal"/>
    <w:uiPriority w:val="59"/>
    <w:rsid w:val="001651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List Paragraph (numbered (a)) Char,Lapis Bulleted List Char,Dot pt Char,F5 List Paragraph Char,List Paragraph1 Char,No Spacing1 Char,List Paragraph Char Char Char Char,Indicator Text Char,Numbered Para 1 Char,Ha Char"/>
    <w:link w:val="ListParagraph"/>
    <w:qFormat/>
    <w:locked/>
    <w:rsid w:val="00165105"/>
    <w:rPr>
      <w:lang w:val="en-GB"/>
    </w:rPr>
  </w:style>
  <w:style w:type="character" w:customStyle="1" w:styleId="Heading1Char">
    <w:name w:val="Heading 1 Char"/>
    <w:basedOn w:val="DefaultParagraphFont"/>
    <w:link w:val="Heading1"/>
    <w:uiPriority w:val="9"/>
    <w:rsid w:val="00454E76"/>
    <w:rPr>
      <w:rFonts w:ascii="Calibri" w:eastAsia="Times New Roman" w:hAnsi="Calibri" w:cs="Calibri"/>
      <w:b/>
      <w:sz w:val="28"/>
      <w:szCs w:val="28"/>
    </w:rPr>
  </w:style>
  <w:style w:type="character" w:styleId="CommentReference">
    <w:name w:val="annotation reference"/>
    <w:basedOn w:val="DefaultParagraphFont"/>
    <w:uiPriority w:val="99"/>
    <w:semiHidden/>
    <w:unhideWhenUsed/>
    <w:rsid w:val="006E39D6"/>
    <w:rPr>
      <w:sz w:val="16"/>
      <w:szCs w:val="16"/>
    </w:rPr>
  </w:style>
  <w:style w:type="paragraph" w:styleId="CommentText">
    <w:name w:val="annotation text"/>
    <w:basedOn w:val="Normal"/>
    <w:link w:val="CommentTextChar"/>
    <w:uiPriority w:val="99"/>
    <w:semiHidden/>
    <w:unhideWhenUsed/>
    <w:rsid w:val="006E39D6"/>
    <w:pPr>
      <w:spacing w:line="240" w:lineRule="auto"/>
    </w:pPr>
    <w:rPr>
      <w:sz w:val="20"/>
      <w:szCs w:val="20"/>
    </w:rPr>
  </w:style>
  <w:style w:type="character" w:customStyle="1" w:styleId="CommentTextChar">
    <w:name w:val="Comment Text Char"/>
    <w:basedOn w:val="DefaultParagraphFont"/>
    <w:link w:val="CommentText"/>
    <w:uiPriority w:val="99"/>
    <w:semiHidden/>
    <w:rsid w:val="006E39D6"/>
    <w:rPr>
      <w:sz w:val="20"/>
      <w:szCs w:val="20"/>
      <w:lang w:val="en-GB"/>
    </w:rPr>
  </w:style>
  <w:style w:type="paragraph" w:styleId="CommentSubject">
    <w:name w:val="annotation subject"/>
    <w:basedOn w:val="CommentText"/>
    <w:next w:val="CommentText"/>
    <w:link w:val="CommentSubjectChar"/>
    <w:uiPriority w:val="99"/>
    <w:semiHidden/>
    <w:unhideWhenUsed/>
    <w:rsid w:val="006E39D6"/>
    <w:rPr>
      <w:b/>
      <w:bCs/>
    </w:rPr>
  </w:style>
  <w:style w:type="character" w:customStyle="1" w:styleId="CommentSubjectChar">
    <w:name w:val="Comment Subject Char"/>
    <w:basedOn w:val="CommentTextChar"/>
    <w:link w:val="CommentSubject"/>
    <w:uiPriority w:val="99"/>
    <w:semiHidden/>
    <w:rsid w:val="006E39D6"/>
    <w:rPr>
      <w:b/>
      <w:bCs/>
      <w:sz w:val="20"/>
      <w:szCs w:val="20"/>
      <w:lang w:val="en-GB"/>
    </w:rPr>
  </w:style>
  <w:style w:type="paragraph" w:styleId="BalloonText">
    <w:name w:val="Balloon Text"/>
    <w:basedOn w:val="Normal"/>
    <w:link w:val="BalloonTextChar"/>
    <w:uiPriority w:val="99"/>
    <w:semiHidden/>
    <w:unhideWhenUsed/>
    <w:rsid w:val="006E3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9D6"/>
    <w:rPr>
      <w:rFonts w:ascii="Segoe UI" w:hAnsi="Segoe UI" w:cs="Segoe UI"/>
      <w:sz w:val="18"/>
      <w:szCs w:val="18"/>
      <w:lang w:val="en-GB"/>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5_G,FOOTNOTES,fn"/>
    <w:basedOn w:val="Normal"/>
    <w:link w:val="FootnoteTextChar"/>
    <w:uiPriority w:val="99"/>
    <w:unhideWhenUsed/>
    <w:rsid w:val="00E62B25"/>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E62B25"/>
    <w:rPr>
      <w:sz w:val="20"/>
      <w:szCs w:val="20"/>
      <w:lang w:val="en-GB"/>
    </w:rPr>
  </w:style>
  <w:style w:type="character" w:styleId="FootnoteReference">
    <w:name w:val="footnote reference"/>
    <w:aliases w:val="4_G,ftref,referencia nota al pie,BVI fnr,4_Footnote text,Footnote text,Appel note de bas de p.,callout,nota pié di pagina,Fußnotenzeichen DISS,16 Point,Superscript 6 Point,Footnotes refss,Footnote Reference1"/>
    <w:basedOn w:val="DefaultParagraphFont"/>
    <w:uiPriority w:val="99"/>
    <w:unhideWhenUsed/>
    <w:rsid w:val="00E62B25"/>
    <w:rPr>
      <w:vertAlign w:val="superscript"/>
    </w:rPr>
  </w:style>
  <w:style w:type="character" w:styleId="Hyperlink">
    <w:name w:val="Hyperlink"/>
    <w:basedOn w:val="DefaultParagraphFont"/>
    <w:uiPriority w:val="99"/>
    <w:unhideWhenUsed/>
    <w:rsid w:val="00560E92"/>
    <w:rPr>
      <w:color w:val="0563C1" w:themeColor="hyperlink"/>
      <w:u w:val="single"/>
    </w:rPr>
  </w:style>
  <w:style w:type="character" w:customStyle="1" w:styleId="apple-converted-space">
    <w:name w:val="apple-converted-space"/>
    <w:basedOn w:val="DefaultParagraphFont"/>
    <w:rsid w:val="00CC3605"/>
  </w:style>
  <w:style w:type="character" w:customStyle="1" w:styleId="Heading2Char">
    <w:name w:val="Heading 2 Char"/>
    <w:basedOn w:val="DefaultParagraphFont"/>
    <w:link w:val="Heading2"/>
    <w:uiPriority w:val="9"/>
    <w:semiHidden/>
    <w:rsid w:val="001C1875"/>
    <w:rPr>
      <w:rFonts w:asciiTheme="majorHAnsi" w:eastAsiaTheme="majorEastAsia" w:hAnsiTheme="majorHAnsi" w:cstheme="majorBidi"/>
      <w:color w:val="2E74B5" w:themeColor="accent1" w:themeShade="BF"/>
      <w:sz w:val="26"/>
      <w:szCs w:val="26"/>
      <w:lang w:val="en-GB"/>
    </w:rPr>
  </w:style>
  <w:style w:type="table" w:customStyle="1" w:styleId="GridTable4-Accent31">
    <w:name w:val="Grid Table 4 - Accent 31"/>
    <w:basedOn w:val="TableNormal"/>
    <w:uiPriority w:val="49"/>
    <w:rsid w:val="001C1875"/>
    <w:pPr>
      <w:spacing w:after="0" w:line="240" w:lineRule="auto"/>
      <w:jc w:val="both"/>
    </w:pPr>
    <w:rPr>
      <w:rFonts w:eastAsiaTheme="minorEastAsia"/>
      <w:lang w:val="en-GB"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istBullet1">
    <w:name w:val="ListBullet1"/>
    <w:basedOn w:val="Normal"/>
    <w:uiPriority w:val="11"/>
    <w:qFormat/>
    <w:rsid w:val="00C86B7E"/>
    <w:pPr>
      <w:numPr>
        <w:numId w:val="2"/>
      </w:numPr>
      <w:spacing w:after="0" w:line="264" w:lineRule="auto"/>
    </w:pPr>
    <w:rPr>
      <w:rFonts w:ascii="Noto Sans" w:hAnsi="Noto Sans" w:cs="Noto Sans"/>
      <w:sz w:val="18"/>
      <w:szCs w:val="18"/>
    </w:rPr>
  </w:style>
  <w:style w:type="paragraph" w:customStyle="1" w:styleId="ListBullet2">
    <w:name w:val="ListBullet2"/>
    <w:basedOn w:val="Normal"/>
    <w:uiPriority w:val="11"/>
    <w:qFormat/>
    <w:rsid w:val="00C86B7E"/>
    <w:pPr>
      <w:numPr>
        <w:ilvl w:val="1"/>
        <w:numId w:val="2"/>
      </w:numPr>
      <w:spacing w:after="0" w:line="264" w:lineRule="auto"/>
    </w:pPr>
    <w:rPr>
      <w:rFonts w:ascii="Noto Sans" w:hAnsi="Noto Sans" w:cs="Noto Sans"/>
      <w:sz w:val="18"/>
      <w:szCs w:val="18"/>
    </w:rPr>
  </w:style>
  <w:style w:type="numbering" w:customStyle="1" w:styleId="ListNoNumILO">
    <w:name w:val="ListNoNumILO"/>
    <w:basedOn w:val="NoList"/>
    <w:uiPriority w:val="99"/>
    <w:rsid w:val="00C86B7E"/>
    <w:pPr>
      <w:numPr>
        <w:numId w:val="2"/>
      </w:numPr>
    </w:pPr>
  </w:style>
  <w:style w:type="paragraph" w:styleId="NormalWeb">
    <w:name w:val="Normal (Web)"/>
    <w:basedOn w:val="Normal"/>
    <w:uiPriority w:val="99"/>
    <w:unhideWhenUsed/>
    <w:rsid w:val="008D29FF"/>
    <w:pPr>
      <w:spacing w:after="0" w:line="240" w:lineRule="auto"/>
    </w:pPr>
    <w:rPr>
      <w:rFonts w:ascii="Times New Roman" w:eastAsia="Times New Roman" w:hAnsi="Times New Roman" w:cs="Times New Roman"/>
      <w:sz w:val="24"/>
      <w:szCs w:val="24"/>
      <w:lang w:val="en-IN" w:eastAsia="en-GB"/>
    </w:rPr>
  </w:style>
  <w:style w:type="paragraph" w:styleId="Header">
    <w:name w:val="header"/>
    <w:basedOn w:val="Normal"/>
    <w:link w:val="HeaderChar"/>
    <w:uiPriority w:val="99"/>
    <w:unhideWhenUsed/>
    <w:rsid w:val="00B34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DA"/>
    <w:rPr>
      <w:lang w:val="en-GB"/>
    </w:rPr>
  </w:style>
  <w:style w:type="paragraph" w:styleId="Footer">
    <w:name w:val="footer"/>
    <w:basedOn w:val="Normal"/>
    <w:link w:val="FooterChar"/>
    <w:uiPriority w:val="99"/>
    <w:unhideWhenUsed/>
    <w:rsid w:val="00B34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DA"/>
    <w:rPr>
      <w:lang w:val="en-GB"/>
    </w:rPr>
  </w:style>
  <w:style w:type="paragraph" w:styleId="Revision">
    <w:name w:val="Revision"/>
    <w:hidden/>
    <w:uiPriority w:val="99"/>
    <w:semiHidden/>
    <w:rsid w:val="00471E36"/>
    <w:pPr>
      <w:spacing w:after="0" w:line="240" w:lineRule="auto"/>
    </w:pPr>
    <w:rPr>
      <w:lang w:val="en-GB"/>
    </w:rPr>
  </w:style>
  <w:style w:type="character" w:styleId="UnresolvedMention">
    <w:name w:val="Unresolved Mention"/>
    <w:basedOn w:val="DefaultParagraphFont"/>
    <w:uiPriority w:val="99"/>
    <w:semiHidden/>
    <w:unhideWhenUsed/>
    <w:rsid w:val="000313FD"/>
    <w:rPr>
      <w:color w:val="605E5C"/>
      <w:shd w:val="clear" w:color="auto" w:fill="E1DFDD"/>
    </w:rPr>
  </w:style>
  <w:style w:type="character" w:customStyle="1" w:styleId="x0ick">
    <w:name w:val="x0ick"/>
    <w:basedOn w:val="DefaultParagraphFont"/>
    <w:rsid w:val="0014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9834">
      <w:bodyDiv w:val="1"/>
      <w:marLeft w:val="0"/>
      <w:marRight w:val="0"/>
      <w:marTop w:val="0"/>
      <w:marBottom w:val="0"/>
      <w:divBdr>
        <w:top w:val="none" w:sz="0" w:space="0" w:color="auto"/>
        <w:left w:val="none" w:sz="0" w:space="0" w:color="auto"/>
        <w:bottom w:val="none" w:sz="0" w:space="0" w:color="auto"/>
        <w:right w:val="none" w:sz="0" w:space="0" w:color="auto"/>
      </w:divBdr>
    </w:div>
    <w:div w:id="110707929">
      <w:bodyDiv w:val="1"/>
      <w:marLeft w:val="0"/>
      <w:marRight w:val="0"/>
      <w:marTop w:val="0"/>
      <w:marBottom w:val="0"/>
      <w:divBdr>
        <w:top w:val="none" w:sz="0" w:space="0" w:color="auto"/>
        <w:left w:val="none" w:sz="0" w:space="0" w:color="auto"/>
        <w:bottom w:val="none" w:sz="0" w:space="0" w:color="auto"/>
        <w:right w:val="none" w:sz="0" w:space="0" w:color="auto"/>
      </w:divBdr>
      <w:divsChild>
        <w:div w:id="455560223">
          <w:marLeft w:val="0"/>
          <w:marRight w:val="0"/>
          <w:marTop w:val="0"/>
          <w:marBottom w:val="0"/>
          <w:divBdr>
            <w:top w:val="none" w:sz="0" w:space="0" w:color="auto"/>
            <w:left w:val="none" w:sz="0" w:space="0" w:color="auto"/>
            <w:bottom w:val="none" w:sz="0" w:space="0" w:color="auto"/>
            <w:right w:val="none" w:sz="0" w:space="0" w:color="auto"/>
          </w:divBdr>
        </w:div>
        <w:div w:id="1671063955">
          <w:marLeft w:val="0"/>
          <w:marRight w:val="0"/>
          <w:marTop w:val="0"/>
          <w:marBottom w:val="0"/>
          <w:divBdr>
            <w:top w:val="none" w:sz="0" w:space="0" w:color="auto"/>
            <w:left w:val="none" w:sz="0" w:space="0" w:color="auto"/>
            <w:bottom w:val="none" w:sz="0" w:space="0" w:color="auto"/>
            <w:right w:val="none" w:sz="0" w:space="0" w:color="auto"/>
          </w:divBdr>
        </w:div>
        <w:div w:id="1112046601">
          <w:marLeft w:val="0"/>
          <w:marRight w:val="0"/>
          <w:marTop w:val="0"/>
          <w:marBottom w:val="0"/>
          <w:divBdr>
            <w:top w:val="none" w:sz="0" w:space="0" w:color="auto"/>
            <w:left w:val="none" w:sz="0" w:space="0" w:color="auto"/>
            <w:bottom w:val="none" w:sz="0" w:space="0" w:color="auto"/>
            <w:right w:val="none" w:sz="0" w:space="0" w:color="auto"/>
          </w:divBdr>
        </w:div>
        <w:div w:id="187914144">
          <w:marLeft w:val="0"/>
          <w:marRight w:val="0"/>
          <w:marTop w:val="0"/>
          <w:marBottom w:val="0"/>
          <w:divBdr>
            <w:top w:val="none" w:sz="0" w:space="0" w:color="auto"/>
            <w:left w:val="none" w:sz="0" w:space="0" w:color="auto"/>
            <w:bottom w:val="none" w:sz="0" w:space="0" w:color="auto"/>
            <w:right w:val="none" w:sz="0" w:space="0" w:color="auto"/>
          </w:divBdr>
        </w:div>
        <w:div w:id="865682547">
          <w:marLeft w:val="0"/>
          <w:marRight w:val="0"/>
          <w:marTop w:val="0"/>
          <w:marBottom w:val="0"/>
          <w:divBdr>
            <w:top w:val="none" w:sz="0" w:space="0" w:color="auto"/>
            <w:left w:val="none" w:sz="0" w:space="0" w:color="auto"/>
            <w:bottom w:val="none" w:sz="0" w:space="0" w:color="auto"/>
            <w:right w:val="none" w:sz="0" w:space="0" w:color="auto"/>
          </w:divBdr>
        </w:div>
      </w:divsChild>
    </w:div>
    <w:div w:id="158623969">
      <w:bodyDiv w:val="1"/>
      <w:marLeft w:val="0"/>
      <w:marRight w:val="0"/>
      <w:marTop w:val="0"/>
      <w:marBottom w:val="0"/>
      <w:divBdr>
        <w:top w:val="none" w:sz="0" w:space="0" w:color="auto"/>
        <w:left w:val="none" w:sz="0" w:space="0" w:color="auto"/>
        <w:bottom w:val="none" w:sz="0" w:space="0" w:color="auto"/>
        <w:right w:val="none" w:sz="0" w:space="0" w:color="auto"/>
      </w:divBdr>
    </w:div>
    <w:div w:id="178935477">
      <w:bodyDiv w:val="1"/>
      <w:marLeft w:val="0"/>
      <w:marRight w:val="0"/>
      <w:marTop w:val="0"/>
      <w:marBottom w:val="0"/>
      <w:divBdr>
        <w:top w:val="none" w:sz="0" w:space="0" w:color="auto"/>
        <w:left w:val="none" w:sz="0" w:space="0" w:color="auto"/>
        <w:bottom w:val="none" w:sz="0" w:space="0" w:color="auto"/>
        <w:right w:val="none" w:sz="0" w:space="0" w:color="auto"/>
      </w:divBdr>
    </w:div>
    <w:div w:id="265844431">
      <w:bodyDiv w:val="1"/>
      <w:marLeft w:val="0"/>
      <w:marRight w:val="0"/>
      <w:marTop w:val="0"/>
      <w:marBottom w:val="0"/>
      <w:divBdr>
        <w:top w:val="none" w:sz="0" w:space="0" w:color="auto"/>
        <w:left w:val="none" w:sz="0" w:space="0" w:color="auto"/>
        <w:bottom w:val="none" w:sz="0" w:space="0" w:color="auto"/>
        <w:right w:val="none" w:sz="0" w:space="0" w:color="auto"/>
      </w:divBdr>
    </w:div>
    <w:div w:id="286014436">
      <w:bodyDiv w:val="1"/>
      <w:marLeft w:val="0"/>
      <w:marRight w:val="0"/>
      <w:marTop w:val="0"/>
      <w:marBottom w:val="0"/>
      <w:divBdr>
        <w:top w:val="none" w:sz="0" w:space="0" w:color="auto"/>
        <w:left w:val="none" w:sz="0" w:space="0" w:color="auto"/>
        <w:bottom w:val="none" w:sz="0" w:space="0" w:color="auto"/>
        <w:right w:val="none" w:sz="0" w:space="0" w:color="auto"/>
      </w:divBdr>
    </w:div>
    <w:div w:id="326060452">
      <w:bodyDiv w:val="1"/>
      <w:marLeft w:val="0"/>
      <w:marRight w:val="0"/>
      <w:marTop w:val="0"/>
      <w:marBottom w:val="0"/>
      <w:divBdr>
        <w:top w:val="none" w:sz="0" w:space="0" w:color="auto"/>
        <w:left w:val="none" w:sz="0" w:space="0" w:color="auto"/>
        <w:bottom w:val="none" w:sz="0" w:space="0" w:color="auto"/>
        <w:right w:val="none" w:sz="0" w:space="0" w:color="auto"/>
      </w:divBdr>
      <w:divsChild>
        <w:div w:id="352657702">
          <w:marLeft w:val="0"/>
          <w:marRight w:val="0"/>
          <w:marTop w:val="0"/>
          <w:marBottom w:val="0"/>
          <w:divBdr>
            <w:top w:val="none" w:sz="0" w:space="0" w:color="auto"/>
            <w:left w:val="none" w:sz="0" w:space="0" w:color="auto"/>
            <w:bottom w:val="none" w:sz="0" w:space="0" w:color="auto"/>
            <w:right w:val="none" w:sz="0" w:space="0" w:color="auto"/>
          </w:divBdr>
          <w:divsChild>
            <w:div w:id="970745510">
              <w:marLeft w:val="0"/>
              <w:marRight w:val="0"/>
              <w:marTop w:val="0"/>
              <w:marBottom w:val="0"/>
              <w:divBdr>
                <w:top w:val="none" w:sz="0" w:space="0" w:color="auto"/>
                <w:left w:val="none" w:sz="0" w:space="0" w:color="auto"/>
                <w:bottom w:val="none" w:sz="0" w:space="0" w:color="auto"/>
                <w:right w:val="none" w:sz="0" w:space="0" w:color="auto"/>
              </w:divBdr>
              <w:divsChild>
                <w:div w:id="11021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16473">
          <w:marLeft w:val="0"/>
          <w:marRight w:val="0"/>
          <w:marTop w:val="0"/>
          <w:marBottom w:val="0"/>
          <w:divBdr>
            <w:top w:val="none" w:sz="0" w:space="0" w:color="auto"/>
            <w:left w:val="none" w:sz="0" w:space="0" w:color="auto"/>
            <w:bottom w:val="none" w:sz="0" w:space="0" w:color="auto"/>
            <w:right w:val="none" w:sz="0" w:space="0" w:color="auto"/>
          </w:divBdr>
          <w:divsChild>
            <w:div w:id="299195219">
              <w:marLeft w:val="0"/>
              <w:marRight w:val="0"/>
              <w:marTop w:val="0"/>
              <w:marBottom w:val="0"/>
              <w:divBdr>
                <w:top w:val="none" w:sz="0" w:space="0" w:color="auto"/>
                <w:left w:val="none" w:sz="0" w:space="0" w:color="auto"/>
                <w:bottom w:val="none" w:sz="0" w:space="0" w:color="auto"/>
                <w:right w:val="none" w:sz="0" w:space="0" w:color="auto"/>
              </w:divBdr>
              <w:divsChild>
                <w:div w:id="829518196">
                  <w:marLeft w:val="0"/>
                  <w:marRight w:val="0"/>
                  <w:marTop w:val="0"/>
                  <w:marBottom w:val="0"/>
                  <w:divBdr>
                    <w:top w:val="none" w:sz="0" w:space="0" w:color="auto"/>
                    <w:left w:val="none" w:sz="0" w:space="0" w:color="auto"/>
                    <w:bottom w:val="none" w:sz="0" w:space="0" w:color="auto"/>
                    <w:right w:val="none" w:sz="0" w:space="0" w:color="auto"/>
                  </w:divBdr>
                </w:div>
                <w:div w:id="3802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5507">
      <w:bodyDiv w:val="1"/>
      <w:marLeft w:val="0"/>
      <w:marRight w:val="0"/>
      <w:marTop w:val="0"/>
      <w:marBottom w:val="0"/>
      <w:divBdr>
        <w:top w:val="none" w:sz="0" w:space="0" w:color="auto"/>
        <w:left w:val="none" w:sz="0" w:space="0" w:color="auto"/>
        <w:bottom w:val="none" w:sz="0" w:space="0" w:color="auto"/>
        <w:right w:val="none" w:sz="0" w:space="0" w:color="auto"/>
      </w:divBdr>
      <w:divsChild>
        <w:div w:id="22481598">
          <w:marLeft w:val="0"/>
          <w:marRight w:val="0"/>
          <w:marTop w:val="0"/>
          <w:marBottom w:val="0"/>
          <w:divBdr>
            <w:top w:val="none" w:sz="0" w:space="0" w:color="auto"/>
            <w:left w:val="none" w:sz="0" w:space="0" w:color="auto"/>
            <w:bottom w:val="none" w:sz="0" w:space="0" w:color="auto"/>
            <w:right w:val="none" w:sz="0" w:space="0" w:color="auto"/>
          </w:divBdr>
          <w:divsChild>
            <w:div w:id="413359554">
              <w:marLeft w:val="0"/>
              <w:marRight w:val="0"/>
              <w:marTop w:val="0"/>
              <w:marBottom w:val="0"/>
              <w:divBdr>
                <w:top w:val="none" w:sz="0" w:space="0" w:color="auto"/>
                <w:left w:val="none" w:sz="0" w:space="0" w:color="auto"/>
                <w:bottom w:val="none" w:sz="0" w:space="0" w:color="auto"/>
                <w:right w:val="none" w:sz="0" w:space="0" w:color="auto"/>
              </w:divBdr>
              <w:divsChild>
                <w:div w:id="16570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3109">
      <w:bodyDiv w:val="1"/>
      <w:marLeft w:val="0"/>
      <w:marRight w:val="0"/>
      <w:marTop w:val="0"/>
      <w:marBottom w:val="0"/>
      <w:divBdr>
        <w:top w:val="none" w:sz="0" w:space="0" w:color="auto"/>
        <w:left w:val="none" w:sz="0" w:space="0" w:color="auto"/>
        <w:bottom w:val="none" w:sz="0" w:space="0" w:color="auto"/>
        <w:right w:val="none" w:sz="0" w:space="0" w:color="auto"/>
      </w:divBdr>
      <w:divsChild>
        <w:div w:id="1214001265">
          <w:marLeft w:val="0"/>
          <w:marRight w:val="0"/>
          <w:marTop w:val="0"/>
          <w:marBottom w:val="0"/>
          <w:divBdr>
            <w:top w:val="none" w:sz="0" w:space="0" w:color="auto"/>
            <w:left w:val="none" w:sz="0" w:space="0" w:color="auto"/>
            <w:bottom w:val="none" w:sz="0" w:space="0" w:color="auto"/>
            <w:right w:val="none" w:sz="0" w:space="0" w:color="auto"/>
          </w:divBdr>
          <w:divsChild>
            <w:div w:id="1651791381">
              <w:marLeft w:val="0"/>
              <w:marRight w:val="0"/>
              <w:marTop w:val="0"/>
              <w:marBottom w:val="0"/>
              <w:divBdr>
                <w:top w:val="none" w:sz="0" w:space="0" w:color="auto"/>
                <w:left w:val="none" w:sz="0" w:space="0" w:color="auto"/>
                <w:bottom w:val="none" w:sz="0" w:space="0" w:color="auto"/>
                <w:right w:val="none" w:sz="0" w:space="0" w:color="auto"/>
              </w:divBdr>
              <w:divsChild>
                <w:div w:id="804008539">
                  <w:marLeft w:val="0"/>
                  <w:marRight w:val="0"/>
                  <w:marTop w:val="0"/>
                  <w:marBottom w:val="0"/>
                  <w:divBdr>
                    <w:top w:val="none" w:sz="0" w:space="0" w:color="auto"/>
                    <w:left w:val="none" w:sz="0" w:space="0" w:color="auto"/>
                    <w:bottom w:val="none" w:sz="0" w:space="0" w:color="auto"/>
                    <w:right w:val="none" w:sz="0" w:space="0" w:color="auto"/>
                  </w:divBdr>
                </w:div>
              </w:divsChild>
            </w:div>
            <w:div w:id="1037390725">
              <w:marLeft w:val="0"/>
              <w:marRight w:val="0"/>
              <w:marTop w:val="0"/>
              <w:marBottom w:val="0"/>
              <w:divBdr>
                <w:top w:val="none" w:sz="0" w:space="0" w:color="auto"/>
                <w:left w:val="none" w:sz="0" w:space="0" w:color="auto"/>
                <w:bottom w:val="none" w:sz="0" w:space="0" w:color="auto"/>
                <w:right w:val="none" w:sz="0" w:space="0" w:color="auto"/>
              </w:divBdr>
              <w:divsChild>
                <w:div w:id="20606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60716">
          <w:marLeft w:val="0"/>
          <w:marRight w:val="0"/>
          <w:marTop w:val="0"/>
          <w:marBottom w:val="0"/>
          <w:divBdr>
            <w:top w:val="none" w:sz="0" w:space="0" w:color="auto"/>
            <w:left w:val="none" w:sz="0" w:space="0" w:color="auto"/>
            <w:bottom w:val="none" w:sz="0" w:space="0" w:color="auto"/>
            <w:right w:val="none" w:sz="0" w:space="0" w:color="auto"/>
          </w:divBdr>
          <w:divsChild>
            <w:div w:id="1417362612">
              <w:marLeft w:val="0"/>
              <w:marRight w:val="0"/>
              <w:marTop w:val="0"/>
              <w:marBottom w:val="0"/>
              <w:divBdr>
                <w:top w:val="none" w:sz="0" w:space="0" w:color="auto"/>
                <w:left w:val="none" w:sz="0" w:space="0" w:color="auto"/>
                <w:bottom w:val="none" w:sz="0" w:space="0" w:color="auto"/>
                <w:right w:val="none" w:sz="0" w:space="0" w:color="auto"/>
              </w:divBdr>
              <w:divsChild>
                <w:div w:id="5064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48">
      <w:bodyDiv w:val="1"/>
      <w:marLeft w:val="0"/>
      <w:marRight w:val="0"/>
      <w:marTop w:val="0"/>
      <w:marBottom w:val="0"/>
      <w:divBdr>
        <w:top w:val="none" w:sz="0" w:space="0" w:color="auto"/>
        <w:left w:val="none" w:sz="0" w:space="0" w:color="auto"/>
        <w:bottom w:val="none" w:sz="0" w:space="0" w:color="auto"/>
        <w:right w:val="none" w:sz="0" w:space="0" w:color="auto"/>
      </w:divBdr>
      <w:divsChild>
        <w:div w:id="515080015">
          <w:marLeft w:val="0"/>
          <w:marRight w:val="0"/>
          <w:marTop w:val="0"/>
          <w:marBottom w:val="0"/>
          <w:divBdr>
            <w:top w:val="none" w:sz="0" w:space="0" w:color="auto"/>
            <w:left w:val="none" w:sz="0" w:space="0" w:color="auto"/>
            <w:bottom w:val="none" w:sz="0" w:space="0" w:color="auto"/>
            <w:right w:val="none" w:sz="0" w:space="0" w:color="auto"/>
          </w:divBdr>
          <w:divsChild>
            <w:div w:id="1949265662">
              <w:marLeft w:val="0"/>
              <w:marRight w:val="0"/>
              <w:marTop w:val="0"/>
              <w:marBottom w:val="0"/>
              <w:divBdr>
                <w:top w:val="none" w:sz="0" w:space="0" w:color="auto"/>
                <w:left w:val="none" w:sz="0" w:space="0" w:color="auto"/>
                <w:bottom w:val="none" w:sz="0" w:space="0" w:color="auto"/>
                <w:right w:val="none" w:sz="0" w:space="0" w:color="auto"/>
              </w:divBdr>
              <w:divsChild>
                <w:div w:id="867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3687">
      <w:bodyDiv w:val="1"/>
      <w:marLeft w:val="0"/>
      <w:marRight w:val="0"/>
      <w:marTop w:val="0"/>
      <w:marBottom w:val="0"/>
      <w:divBdr>
        <w:top w:val="none" w:sz="0" w:space="0" w:color="auto"/>
        <w:left w:val="none" w:sz="0" w:space="0" w:color="auto"/>
        <w:bottom w:val="none" w:sz="0" w:space="0" w:color="auto"/>
        <w:right w:val="none" w:sz="0" w:space="0" w:color="auto"/>
      </w:divBdr>
    </w:div>
    <w:div w:id="448360271">
      <w:bodyDiv w:val="1"/>
      <w:marLeft w:val="0"/>
      <w:marRight w:val="0"/>
      <w:marTop w:val="0"/>
      <w:marBottom w:val="0"/>
      <w:divBdr>
        <w:top w:val="none" w:sz="0" w:space="0" w:color="auto"/>
        <w:left w:val="none" w:sz="0" w:space="0" w:color="auto"/>
        <w:bottom w:val="none" w:sz="0" w:space="0" w:color="auto"/>
        <w:right w:val="none" w:sz="0" w:space="0" w:color="auto"/>
      </w:divBdr>
      <w:divsChild>
        <w:div w:id="1267077489">
          <w:marLeft w:val="0"/>
          <w:marRight w:val="0"/>
          <w:marTop w:val="0"/>
          <w:marBottom w:val="0"/>
          <w:divBdr>
            <w:top w:val="none" w:sz="0" w:space="0" w:color="auto"/>
            <w:left w:val="none" w:sz="0" w:space="0" w:color="auto"/>
            <w:bottom w:val="none" w:sz="0" w:space="0" w:color="auto"/>
            <w:right w:val="none" w:sz="0" w:space="0" w:color="auto"/>
          </w:divBdr>
          <w:divsChild>
            <w:div w:id="999695214">
              <w:marLeft w:val="0"/>
              <w:marRight w:val="0"/>
              <w:marTop w:val="0"/>
              <w:marBottom w:val="0"/>
              <w:divBdr>
                <w:top w:val="none" w:sz="0" w:space="0" w:color="auto"/>
                <w:left w:val="none" w:sz="0" w:space="0" w:color="auto"/>
                <w:bottom w:val="none" w:sz="0" w:space="0" w:color="auto"/>
                <w:right w:val="none" w:sz="0" w:space="0" w:color="auto"/>
              </w:divBdr>
              <w:divsChild>
                <w:div w:id="20904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04590">
      <w:bodyDiv w:val="1"/>
      <w:marLeft w:val="0"/>
      <w:marRight w:val="0"/>
      <w:marTop w:val="0"/>
      <w:marBottom w:val="0"/>
      <w:divBdr>
        <w:top w:val="none" w:sz="0" w:space="0" w:color="auto"/>
        <w:left w:val="none" w:sz="0" w:space="0" w:color="auto"/>
        <w:bottom w:val="none" w:sz="0" w:space="0" w:color="auto"/>
        <w:right w:val="none" w:sz="0" w:space="0" w:color="auto"/>
      </w:divBdr>
      <w:divsChild>
        <w:div w:id="755397911">
          <w:marLeft w:val="0"/>
          <w:marRight w:val="0"/>
          <w:marTop w:val="0"/>
          <w:marBottom w:val="0"/>
          <w:divBdr>
            <w:top w:val="none" w:sz="0" w:space="0" w:color="auto"/>
            <w:left w:val="none" w:sz="0" w:space="0" w:color="auto"/>
            <w:bottom w:val="none" w:sz="0" w:space="0" w:color="auto"/>
            <w:right w:val="none" w:sz="0" w:space="0" w:color="auto"/>
          </w:divBdr>
          <w:divsChild>
            <w:div w:id="2002074683">
              <w:marLeft w:val="0"/>
              <w:marRight w:val="0"/>
              <w:marTop w:val="0"/>
              <w:marBottom w:val="0"/>
              <w:divBdr>
                <w:top w:val="none" w:sz="0" w:space="0" w:color="auto"/>
                <w:left w:val="none" w:sz="0" w:space="0" w:color="auto"/>
                <w:bottom w:val="none" w:sz="0" w:space="0" w:color="auto"/>
                <w:right w:val="none" w:sz="0" w:space="0" w:color="auto"/>
              </w:divBdr>
              <w:divsChild>
                <w:div w:id="4574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3187">
      <w:bodyDiv w:val="1"/>
      <w:marLeft w:val="0"/>
      <w:marRight w:val="0"/>
      <w:marTop w:val="0"/>
      <w:marBottom w:val="0"/>
      <w:divBdr>
        <w:top w:val="none" w:sz="0" w:space="0" w:color="auto"/>
        <w:left w:val="none" w:sz="0" w:space="0" w:color="auto"/>
        <w:bottom w:val="none" w:sz="0" w:space="0" w:color="auto"/>
        <w:right w:val="none" w:sz="0" w:space="0" w:color="auto"/>
      </w:divBdr>
      <w:divsChild>
        <w:div w:id="1198280510">
          <w:marLeft w:val="0"/>
          <w:marRight w:val="0"/>
          <w:marTop w:val="0"/>
          <w:marBottom w:val="0"/>
          <w:divBdr>
            <w:top w:val="none" w:sz="0" w:space="0" w:color="auto"/>
            <w:left w:val="none" w:sz="0" w:space="0" w:color="auto"/>
            <w:bottom w:val="none" w:sz="0" w:space="0" w:color="auto"/>
            <w:right w:val="none" w:sz="0" w:space="0" w:color="auto"/>
          </w:divBdr>
          <w:divsChild>
            <w:div w:id="295138407">
              <w:marLeft w:val="0"/>
              <w:marRight w:val="0"/>
              <w:marTop w:val="0"/>
              <w:marBottom w:val="0"/>
              <w:divBdr>
                <w:top w:val="none" w:sz="0" w:space="0" w:color="auto"/>
                <w:left w:val="none" w:sz="0" w:space="0" w:color="auto"/>
                <w:bottom w:val="none" w:sz="0" w:space="0" w:color="auto"/>
                <w:right w:val="none" w:sz="0" w:space="0" w:color="auto"/>
              </w:divBdr>
              <w:divsChild>
                <w:div w:id="729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6310">
      <w:bodyDiv w:val="1"/>
      <w:marLeft w:val="0"/>
      <w:marRight w:val="0"/>
      <w:marTop w:val="0"/>
      <w:marBottom w:val="0"/>
      <w:divBdr>
        <w:top w:val="none" w:sz="0" w:space="0" w:color="auto"/>
        <w:left w:val="none" w:sz="0" w:space="0" w:color="auto"/>
        <w:bottom w:val="none" w:sz="0" w:space="0" w:color="auto"/>
        <w:right w:val="none" w:sz="0" w:space="0" w:color="auto"/>
      </w:divBdr>
      <w:divsChild>
        <w:div w:id="1704742988">
          <w:marLeft w:val="0"/>
          <w:marRight w:val="0"/>
          <w:marTop w:val="0"/>
          <w:marBottom w:val="0"/>
          <w:divBdr>
            <w:top w:val="none" w:sz="0" w:space="0" w:color="auto"/>
            <w:left w:val="none" w:sz="0" w:space="0" w:color="auto"/>
            <w:bottom w:val="none" w:sz="0" w:space="0" w:color="auto"/>
            <w:right w:val="none" w:sz="0" w:space="0" w:color="auto"/>
          </w:divBdr>
          <w:divsChild>
            <w:div w:id="548231100">
              <w:marLeft w:val="0"/>
              <w:marRight w:val="0"/>
              <w:marTop w:val="0"/>
              <w:marBottom w:val="0"/>
              <w:divBdr>
                <w:top w:val="none" w:sz="0" w:space="0" w:color="auto"/>
                <w:left w:val="none" w:sz="0" w:space="0" w:color="auto"/>
                <w:bottom w:val="none" w:sz="0" w:space="0" w:color="auto"/>
                <w:right w:val="none" w:sz="0" w:space="0" w:color="auto"/>
              </w:divBdr>
              <w:divsChild>
                <w:div w:id="16006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2906">
      <w:bodyDiv w:val="1"/>
      <w:marLeft w:val="0"/>
      <w:marRight w:val="0"/>
      <w:marTop w:val="0"/>
      <w:marBottom w:val="0"/>
      <w:divBdr>
        <w:top w:val="none" w:sz="0" w:space="0" w:color="auto"/>
        <w:left w:val="none" w:sz="0" w:space="0" w:color="auto"/>
        <w:bottom w:val="none" w:sz="0" w:space="0" w:color="auto"/>
        <w:right w:val="none" w:sz="0" w:space="0" w:color="auto"/>
      </w:divBdr>
    </w:div>
    <w:div w:id="619805502">
      <w:bodyDiv w:val="1"/>
      <w:marLeft w:val="0"/>
      <w:marRight w:val="0"/>
      <w:marTop w:val="0"/>
      <w:marBottom w:val="0"/>
      <w:divBdr>
        <w:top w:val="none" w:sz="0" w:space="0" w:color="auto"/>
        <w:left w:val="none" w:sz="0" w:space="0" w:color="auto"/>
        <w:bottom w:val="none" w:sz="0" w:space="0" w:color="auto"/>
        <w:right w:val="none" w:sz="0" w:space="0" w:color="auto"/>
      </w:divBdr>
      <w:divsChild>
        <w:div w:id="1308634690">
          <w:marLeft w:val="0"/>
          <w:marRight w:val="0"/>
          <w:marTop w:val="0"/>
          <w:marBottom w:val="0"/>
          <w:divBdr>
            <w:top w:val="none" w:sz="0" w:space="0" w:color="auto"/>
            <w:left w:val="none" w:sz="0" w:space="0" w:color="auto"/>
            <w:bottom w:val="none" w:sz="0" w:space="0" w:color="auto"/>
            <w:right w:val="none" w:sz="0" w:space="0" w:color="auto"/>
          </w:divBdr>
          <w:divsChild>
            <w:div w:id="1785340008">
              <w:marLeft w:val="0"/>
              <w:marRight w:val="0"/>
              <w:marTop w:val="0"/>
              <w:marBottom w:val="0"/>
              <w:divBdr>
                <w:top w:val="none" w:sz="0" w:space="0" w:color="auto"/>
                <w:left w:val="none" w:sz="0" w:space="0" w:color="auto"/>
                <w:bottom w:val="none" w:sz="0" w:space="0" w:color="auto"/>
                <w:right w:val="none" w:sz="0" w:space="0" w:color="auto"/>
              </w:divBdr>
              <w:divsChild>
                <w:div w:id="297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7838">
      <w:bodyDiv w:val="1"/>
      <w:marLeft w:val="0"/>
      <w:marRight w:val="0"/>
      <w:marTop w:val="0"/>
      <w:marBottom w:val="0"/>
      <w:divBdr>
        <w:top w:val="none" w:sz="0" w:space="0" w:color="auto"/>
        <w:left w:val="none" w:sz="0" w:space="0" w:color="auto"/>
        <w:bottom w:val="none" w:sz="0" w:space="0" w:color="auto"/>
        <w:right w:val="none" w:sz="0" w:space="0" w:color="auto"/>
      </w:divBdr>
    </w:div>
    <w:div w:id="934903283">
      <w:bodyDiv w:val="1"/>
      <w:marLeft w:val="0"/>
      <w:marRight w:val="0"/>
      <w:marTop w:val="0"/>
      <w:marBottom w:val="0"/>
      <w:divBdr>
        <w:top w:val="none" w:sz="0" w:space="0" w:color="auto"/>
        <w:left w:val="none" w:sz="0" w:space="0" w:color="auto"/>
        <w:bottom w:val="none" w:sz="0" w:space="0" w:color="auto"/>
        <w:right w:val="none" w:sz="0" w:space="0" w:color="auto"/>
      </w:divBdr>
      <w:divsChild>
        <w:div w:id="1273168487">
          <w:marLeft w:val="0"/>
          <w:marRight w:val="0"/>
          <w:marTop w:val="0"/>
          <w:marBottom w:val="0"/>
          <w:divBdr>
            <w:top w:val="none" w:sz="0" w:space="0" w:color="auto"/>
            <w:left w:val="none" w:sz="0" w:space="0" w:color="auto"/>
            <w:bottom w:val="none" w:sz="0" w:space="0" w:color="auto"/>
            <w:right w:val="none" w:sz="0" w:space="0" w:color="auto"/>
          </w:divBdr>
          <w:divsChild>
            <w:div w:id="689456498">
              <w:marLeft w:val="0"/>
              <w:marRight w:val="0"/>
              <w:marTop w:val="0"/>
              <w:marBottom w:val="0"/>
              <w:divBdr>
                <w:top w:val="none" w:sz="0" w:space="0" w:color="auto"/>
                <w:left w:val="none" w:sz="0" w:space="0" w:color="auto"/>
                <w:bottom w:val="none" w:sz="0" w:space="0" w:color="auto"/>
                <w:right w:val="none" w:sz="0" w:space="0" w:color="auto"/>
              </w:divBdr>
              <w:divsChild>
                <w:div w:id="371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3801">
      <w:bodyDiv w:val="1"/>
      <w:marLeft w:val="0"/>
      <w:marRight w:val="0"/>
      <w:marTop w:val="0"/>
      <w:marBottom w:val="0"/>
      <w:divBdr>
        <w:top w:val="none" w:sz="0" w:space="0" w:color="auto"/>
        <w:left w:val="none" w:sz="0" w:space="0" w:color="auto"/>
        <w:bottom w:val="none" w:sz="0" w:space="0" w:color="auto"/>
        <w:right w:val="none" w:sz="0" w:space="0" w:color="auto"/>
      </w:divBdr>
    </w:div>
    <w:div w:id="1031496297">
      <w:bodyDiv w:val="1"/>
      <w:marLeft w:val="0"/>
      <w:marRight w:val="0"/>
      <w:marTop w:val="0"/>
      <w:marBottom w:val="0"/>
      <w:divBdr>
        <w:top w:val="none" w:sz="0" w:space="0" w:color="auto"/>
        <w:left w:val="none" w:sz="0" w:space="0" w:color="auto"/>
        <w:bottom w:val="none" w:sz="0" w:space="0" w:color="auto"/>
        <w:right w:val="none" w:sz="0" w:space="0" w:color="auto"/>
      </w:divBdr>
      <w:divsChild>
        <w:div w:id="1744525247">
          <w:marLeft w:val="0"/>
          <w:marRight w:val="0"/>
          <w:marTop w:val="0"/>
          <w:marBottom w:val="0"/>
          <w:divBdr>
            <w:top w:val="none" w:sz="0" w:space="0" w:color="auto"/>
            <w:left w:val="none" w:sz="0" w:space="0" w:color="auto"/>
            <w:bottom w:val="none" w:sz="0" w:space="0" w:color="auto"/>
            <w:right w:val="none" w:sz="0" w:space="0" w:color="auto"/>
          </w:divBdr>
        </w:div>
        <w:div w:id="1703706326">
          <w:marLeft w:val="0"/>
          <w:marRight w:val="0"/>
          <w:marTop w:val="0"/>
          <w:marBottom w:val="0"/>
          <w:divBdr>
            <w:top w:val="none" w:sz="0" w:space="0" w:color="auto"/>
            <w:left w:val="none" w:sz="0" w:space="0" w:color="auto"/>
            <w:bottom w:val="none" w:sz="0" w:space="0" w:color="auto"/>
            <w:right w:val="none" w:sz="0" w:space="0" w:color="auto"/>
          </w:divBdr>
        </w:div>
        <w:div w:id="2145929281">
          <w:marLeft w:val="0"/>
          <w:marRight w:val="0"/>
          <w:marTop w:val="0"/>
          <w:marBottom w:val="0"/>
          <w:divBdr>
            <w:top w:val="none" w:sz="0" w:space="0" w:color="auto"/>
            <w:left w:val="none" w:sz="0" w:space="0" w:color="auto"/>
            <w:bottom w:val="none" w:sz="0" w:space="0" w:color="auto"/>
            <w:right w:val="none" w:sz="0" w:space="0" w:color="auto"/>
          </w:divBdr>
        </w:div>
        <w:div w:id="1919169117">
          <w:marLeft w:val="0"/>
          <w:marRight w:val="0"/>
          <w:marTop w:val="0"/>
          <w:marBottom w:val="0"/>
          <w:divBdr>
            <w:top w:val="none" w:sz="0" w:space="0" w:color="auto"/>
            <w:left w:val="none" w:sz="0" w:space="0" w:color="auto"/>
            <w:bottom w:val="none" w:sz="0" w:space="0" w:color="auto"/>
            <w:right w:val="none" w:sz="0" w:space="0" w:color="auto"/>
          </w:divBdr>
          <w:divsChild>
            <w:div w:id="204872016">
              <w:marLeft w:val="0"/>
              <w:marRight w:val="0"/>
              <w:marTop w:val="0"/>
              <w:marBottom w:val="0"/>
              <w:divBdr>
                <w:top w:val="none" w:sz="0" w:space="0" w:color="auto"/>
                <w:left w:val="none" w:sz="0" w:space="0" w:color="auto"/>
                <w:bottom w:val="none" w:sz="0" w:space="0" w:color="auto"/>
                <w:right w:val="none" w:sz="0" w:space="0" w:color="auto"/>
              </w:divBdr>
            </w:div>
            <w:div w:id="8159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6604">
      <w:bodyDiv w:val="1"/>
      <w:marLeft w:val="0"/>
      <w:marRight w:val="0"/>
      <w:marTop w:val="0"/>
      <w:marBottom w:val="0"/>
      <w:divBdr>
        <w:top w:val="none" w:sz="0" w:space="0" w:color="auto"/>
        <w:left w:val="none" w:sz="0" w:space="0" w:color="auto"/>
        <w:bottom w:val="none" w:sz="0" w:space="0" w:color="auto"/>
        <w:right w:val="none" w:sz="0" w:space="0" w:color="auto"/>
      </w:divBdr>
      <w:divsChild>
        <w:div w:id="37432655">
          <w:marLeft w:val="0"/>
          <w:marRight w:val="0"/>
          <w:marTop w:val="0"/>
          <w:marBottom w:val="0"/>
          <w:divBdr>
            <w:top w:val="none" w:sz="0" w:space="0" w:color="auto"/>
            <w:left w:val="none" w:sz="0" w:space="0" w:color="auto"/>
            <w:bottom w:val="none" w:sz="0" w:space="0" w:color="auto"/>
            <w:right w:val="none" w:sz="0" w:space="0" w:color="auto"/>
          </w:divBdr>
          <w:divsChild>
            <w:div w:id="2052489121">
              <w:marLeft w:val="0"/>
              <w:marRight w:val="0"/>
              <w:marTop w:val="0"/>
              <w:marBottom w:val="0"/>
              <w:divBdr>
                <w:top w:val="none" w:sz="0" w:space="0" w:color="auto"/>
                <w:left w:val="none" w:sz="0" w:space="0" w:color="auto"/>
                <w:bottom w:val="none" w:sz="0" w:space="0" w:color="auto"/>
                <w:right w:val="none" w:sz="0" w:space="0" w:color="auto"/>
              </w:divBdr>
              <w:divsChild>
                <w:div w:id="196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21221">
      <w:bodyDiv w:val="1"/>
      <w:marLeft w:val="0"/>
      <w:marRight w:val="0"/>
      <w:marTop w:val="0"/>
      <w:marBottom w:val="0"/>
      <w:divBdr>
        <w:top w:val="none" w:sz="0" w:space="0" w:color="auto"/>
        <w:left w:val="none" w:sz="0" w:space="0" w:color="auto"/>
        <w:bottom w:val="none" w:sz="0" w:space="0" w:color="auto"/>
        <w:right w:val="none" w:sz="0" w:space="0" w:color="auto"/>
      </w:divBdr>
      <w:divsChild>
        <w:div w:id="917207277">
          <w:marLeft w:val="0"/>
          <w:marRight w:val="0"/>
          <w:marTop w:val="0"/>
          <w:marBottom w:val="0"/>
          <w:divBdr>
            <w:top w:val="none" w:sz="0" w:space="0" w:color="auto"/>
            <w:left w:val="none" w:sz="0" w:space="0" w:color="auto"/>
            <w:bottom w:val="none" w:sz="0" w:space="0" w:color="auto"/>
            <w:right w:val="none" w:sz="0" w:space="0" w:color="auto"/>
          </w:divBdr>
          <w:divsChild>
            <w:div w:id="1707367689">
              <w:marLeft w:val="0"/>
              <w:marRight w:val="0"/>
              <w:marTop w:val="0"/>
              <w:marBottom w:val="0"/>
              <w:divBdr>
                <w:top w:val="none" w:sz="0" w:space="0" w:color="auto"/>
                <w:left w:val="none" w:sz="0" w:space="0" w:color="auto"/>
                <w:bottom w:val="none" w:sz="0" w:space="0" w:color="auto"/>
                <w:right w:val="none" w:sz="0" w:space="0" w:color="auto"/>
              </w:divBdr>
              <w:divsChild>
                <w:div w:id="40056578">
                  <w:marLeft w:val="0"/>
                  <w:marRight w:val="0"/>
                  <w:marTop w:val="0"/>
                  <w:marBottom w:val="0"/>
                  <w:divBdr>
                    <w:top w:val="none" w:sz="0" w:space="0" w:color="auto"/>
                    <w:left w:val="none" w:sz="0" w:space="0" w:color="auto"/>
                    <w:bottom w:val="none" w:sz="0" w:space="0" w:color="auto"/>
                    <w:right w:val="none" w:sz="0" w:space="0" w:color="auto"/>
                  </w:divBdr>
                  <w:divsChild>
                    <w:div w:id="18437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27728">
      <w:bodyDiv w:val="1"/>
      <w:marLeft w:val="0"/>
      <w:marRight w:val="0"/>
      <w:marTop w:val="0"/>
      <w:marBottom w:val="0"/>
      <w:divBdr>
        <w:top w:val="none" w:sz="0" w:space="0" w:color="auto"/>
        <w:left w:val="none" w:sz="0" w:space="0" w:color="auto"/>
        <w:bottom w:val="none" w:sz="0" w:space="0" w:color="auto"/>
        <w:right w:val="none" w:sz="0" w:space="0" w:color="auto"/>
      </w:divBdr>
      <w:divsChild>
        <w:div w:id="1075401222">
          <w:marLeft w:val="0"/>
          <w:marRight w:val="0"/>
          <w:marTop w:val="0"/>
          <w:marBottom w:val="0"/>
          <w:divBdr>
            <w:top w:val="none" w:sz="0" w:space="0" w:color="auto"/>
            <w:left w:val="none" w:sz="0" w:space="0" w:color="auto"/>
            <w:bottom w:val="none" w:sz="0" w:space="0" w:color="auto"/>
            <w:right w:val="none" w:sz="0" w:space="0" w:color="auto"/>
          </w:divBdr>
          <w:divsChild>
            <w:div w:id="197664168">
              <w:marLeft w:val="0"/>
              <w:marRight w:val="0"/>
              <w:marTop w:val="0"/>
              <w:marBottom w:val="0"/>
              <w:divBdr>
                <w:top w:val="none" w:sz="0" w:space="0" w:color="auto"/>
                <w:left w:val="none" w:sz="0" w:space="0" w:color="auto"/>
                <w:bottom w:val="none" w:sz="0" w:space="0" w:color="auto"/>
                <w:right w:val="none" w:sz="0" w:space="0" w:color="auto"/>
              </w:divBdr>
              <w:divsChild>
                <w:div w:id="12556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765">
      <w:bodyDiv w:val="1"/>
      <w:marLeft w:val="0"/>
      <w:marRight w:val="0"/>
      <w:marTop w:val="0"/>
      <w:marBottom w:val="0"/>
      <w:divBdr>
        <w:top w:val="none" w:sz="0" w:space="0" w:color="auto"/>
        <w:left w:val="none" w:sz="0" w:space="0" w:color="auto"/>
        <w:bottom w:val="none" w:sz="0" w:space="0" w:color="auto"/>
        <w:right w:val="none" w:sz="0" w:space="0" w:color="auto"/>
      </w:divBdr>
      <w:divsChild>
        <w:div w:id="286742212">
          <w:marLeft w:val="0"/>
          <w:marRight w:val="0"/>
          <w:marTop w:val="0"/>
          <w:marBottom w:val="0"/>
          <w:divBdr>
            <w:top w:val="none" w:sz="0" w:space="0" w:color="auto"/>
            <w:left w:val="none" w:sz="0" w:space="0" w:color="auto"/>
            <w:bottom w:val="none" w:sz="0" w:space="0" w:color="auto"/>
            <w:right w:val="none" w:sz="0" w:space="0" w:color="auto"/>
          </w:divBdr>
          <w:divsChild>
            <w:div w:id="1951467504">
              <w:marLeft w:val="0"/>
              <w:marRight w:val="0"/>
              <w:marTop w:val="0"/>
              <w:marBottom w:val="0"/>
              <w:divBdr>
                <w:top w:val="none" w:sz="0" w:space="0" w:color="auto"/>
                <w:left w:val="none" w:sz="0" w:space="0" w:color="auto"/>
                <w:bottom w:val="none" w:sz="0" w:space="0" w:color="auto"/>
                <w:right w:val="none" w:sz="0" w:space="0" w:color="auto"/>
              </w:divBdr>
              <w:divsChild>
                <w:div w:id="9889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3772">
      <w:bodyDiv w:val="1"/>
      <w:marLeft w:val="0"/>
      <w:marRight w:val="0"/>
      <w:marTop w:val="0"/>
      <w:marBottom w:val="0"/>
      <w:divBdr>
        <w:top w:val="none" w:sz="0" w:space="0" w:color="auto"/>
        <w:left w:val="none" w:sz="0" w:space="0" w:color="auto"/>
        <w:bottom w:val="none" w:sz="0" w:space="0" w:color="auto"/>
        <w:right w:val="none" w:sz="0" w:space="0" w:color="auto"/>
      </w:divBdr>
      <w:divsChild>
        <w:div w:id="1145587293">
          <w:marLeft w:val="0"/>
          <w:marRight w:val="0"/>
          <w:marTop w:val="0"/>
          <w:marBottom w:val="0"/>
          <w:divBdr>
            <w:top w:val="none" w:sz="0" w:space="0" w:color="auto"/>
            <w:left w:val="none" w:sz="0" w:space="0" w:color="auto"/>
            <w:bottom w:val="none" w:sz="0" w:space="0" w:color="auto"/>
            <w:right w:val="none" w:sz="0" w:space="0" w:color="auto"/>
          </w:divBdr>
          <w:divsChild>
            <w:div w:id="1008213631">
              <w:marLeft w:val="0"/>
              <w:marRight w:val="0"/>
              <w:marTop w:val="0"/>
              <w:marBottom w:val="0"/>
              <w:divBdr>
                <w:top w:val="none" w:sz="0" w:space="0" w:color="auto"/>
                <w:left w:val="none" w:sz="0" w:space="0" w:color="auto"/>
                <w:bottom w:val="none" w:sz="0" w:space="0" w:color="auto"/>
                <w:right w:val="none" w:sz="0" w:space="0" w:color="auto"/>
              </w:divBdr>
              <w:divsChild>
                <w:div w:id="133454923">
                  <w:marLeft w:val="0"/>
                  <w:marRight w:val="0"/>
                  <w:marTop w:val="0"/>
                  <w:marBottom w:val="0"/>
                  <w:divBdr>
                    <w:top w:val="none" w:sz="0" w:space="0" w:color="auto"/>
                    <w:left w:val="none" w:sz="0" w:space="0" w:color="auto"/>
                    <w:bottom w:val="none" w:sz="0" w:space="0" w:color="auto"/>
                    <w:right w:val="none" w:sz="0" w:space="0" w:color="auto"/>
                  </w:divBdr>
                </w:div>
              </w:divsChild>
            </w:div>
            <w:div w:id="403259588">
              <w:marLeft w:val="0"/>
              <w:marRight w:val="0"/>
              <w:marTop w:val="0"/>
              <w:marBottom w:val="0"/>
              <w:divBdr>
                <w:top w:val="none" w:sz="0" w:space="0" w:color="auto"/>
                <w:left w:val="none" w:sz="0" w:space="0" w:color="auto"/>
                <w:bottom w:val="none" w:sz="0" w:space="0" w:color="auto"/>
                <w:right w:val="none" w:sz="0" w:space="0" w:color="auto"/>
              </w:divBdr>
              <w:divsChild>
                <w:div w:id="21056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5768">
          <w:marLeft w:val="0"/>
          <w:marRight w:val="0"/>
          <w:marTop w:val="0"/>
          <w:marBottom w:val="0"/>
          <w:divBdr>
            <w:top w:val="none" w:sz="0" w:space="0" w:color="auto"/>
            <w:left w:val="none" w:sz="0" w:space="0" w:color="auto"/>
            <w:bottom w:val="none" w:sz="0" w:space="0" w:color="auto"/>
            <w:right w:val="none" w:sz="0" w:space="0" w:color="auto"/>
          </w:divBdr>
          <w:divsChild>
            <w:div w:id="363336251">
              <w:marLeft w:val="0"/>
              <w:marRight w:val="0"/>
              <w:marTop w:val="0"/>
              <w:marBottom w:val="0"/>
              <w:divBdr>
                <w:top w:val="none" w:sz="0" w:space="0" w:color="auto"/>
                <w:left w:val="none" w:sz="0" w:space="0" w:color="auto"/>
                <w:bottom w:val="none" w:sz="0" w:space="0" w:color="auto"/>
                <w:right w:val="none" w:sz="0" w:space="0" w:color="auto"/>
              </w:divBdr>
              <w:divsChild>
                <w:div w:id="14239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5065">
      <w:bodyDiv w:val="1"/>
      <w:marLeft w:val="0"/>
      <w:marRight w:val="0"/>
      <w:marTop w:val="0"/>
      <w:marBottom w:val="0"/>
      <w:divBdr>
        <w:top w:val="none" w:sz="0" w:space="0" w:color="auto"/>
        <w:left w:val="none" w:sz="0" w:space="0" w:color="auto"/>
        <w:bottom w:val="none" w:sz="0" w:space="0" w:color="auto"/>
        <w:right w:val="none" w:sz="0" w:space="0" w:color="auto"/>
      </w:divBdr>
      <w:divsChild>
        <w:div w:id="1133793241">
          <w:marLeft w:val="0"/>
          <w:marRight w:val="0"/>
          <w:marTop w:val="0"/>
          <w:marBottom w:val="0"/>
          <w:divBdr>
            <w:top w:val="none" w:sz="0" w:space="0" w:color="auto"/>
            <w:left w:val="none" w:sz="0" w:space="0" w:color="auto"/>
            <w:bottom w:val="none" w:sz="0" w:space="0" w:color="auto"/>
            <w:right w:val="none" w:sz="0" w:space="0" w:color="auto"/>
          </w:divBdr>
          <w:divsChild>
            <w:div w:id="915357184">
              <w:marLeft w:val="0"/>
              <w:marRight w:val="0"/>
              <w:marTop w:val="0"/>
              <w:marBottom w:val="0"/>
              <w:divBdr>
                <w:top w:val="none" w:sz="0" w:space="0" w:color="auto"/>
                <w:left w:val="none" w:sz="0" w:space="0" w:color="auto"/>
                <w:bottom w:val="none" w:sz="0" w:space="0" w:color="auto"/>
                <w:right w:val="none" w:sz="0" w:space="0" w:color="auto"/>
              </w:divBdr>
              <w:divsChild>
                <w:div w:id="666056799">
                  <w:marLeft w:val="0"/>
                  <w:marRight w:val="0"/>
                  <w:marTop w:val="0"/>
                  <w:marBottom w:val="0"/>
                  <w:divBdr>
                    <w:top w:val="none" w:sz="0" w:space="0" w:color="auto"/>
                    <w:left w:val="none" w:sz="0" w:space="0" w:color="auto"/>
                    <w:bottom w:val="none" w:sz="0" w:space="0" w:color="auto"/>
                    <w:right w:val="none" w:sz="0" w:space="0" w:color="auto"/>
                  </w:divBdr>
                </w:div>
              </w:divsChild>
            </w:div>
            <w:div w:id="1458530510">
              <w:marLeft w:val="0"/>
              <w:marRight w:val="0"/>
              <w:marTop w:val="0"/>
              <w:marBottom w:val="0"/>
              <w:divBdr>
                <w:top w:val="none" w:sz="0" w:space="0" w:color="auto"/>
                <w:left w:val="none" w:sz="0" w:space="0" w:color="auto"/>
                <w:bottom w:val="none" w:sz="0" w:space="0" w:color="auto"/>
                <w:right w:val="none" w:sz="0" w:space="0" w:color="auto"/>
              </w:divBdr>
              <w:divsChild>
                <w:div w:id="6802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34634">
          <w:marLeft w:val="0"/>
          <w:marRight w:val="0"/>
          <w:marTop w:val="0"/>
          <w:marBottom w:val="0"/>
          <w:divBdr>
            <w:top w:val="none" w:sz="0" w:space="0" w:color="auto"/>
            <w:left w:val="none" w:sz="0" w:space="0" w:color="auto"/>
            <w:bottom w:val="none" w:sz="0" w:space="0" w:color="auto"/>
            <w:right w:val="none" w:sz="0" w:space="0" w:color="auto"/>
          </w:divBdr>
          <w:divsChild>
            <w:div w:id="1171287230">
              <w:marLeft w:val="0"/>
              <w:marRight w:val="0"/>
              <w:marTop w:val="0"/>
              <w:marBottom w:val="0"/>
              <w:divBdr>
                <w:top w:val="none" w:sz="0" w:space="0" w:color="auto"/>
                <w:left w:val="none" w:sz="0" w:space="0" w:color="auto"/>
                <w:bottom w:val="none" w:sz="0" w:space="0" w:color="auto"/>
                <w:right w:val="none" w:sz="0" w:space="0" w:color="auto"/>
              </w:divBdr>
              <w:divsChild>
                <w:div w:id="2769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69389">
      <w:bodyDiv w:val="1"/>
      <w:marLeft w:val="0"/>
      <w:marRight w:val="0"/>
      <w:marTop w:val="0"/>
      <w:marBottom w:val="0"/>
      <w:divBdr>
        <w:top w:val="none" w:sz="0" w:space="0" w:color="auto"/>
        <w:left w:val="none" w:sz="0" w:space="0" w:color="auto"/>
        <w:bottom w:val="none" w:sz="0" w:space="0" w:color="auto"/>
        <w:right w:val="none" w:sz="0" w:space="0" w:color="auto"/>
      </w:divBdr>
    </w:div>
    <w:div w:id="1203248948">
      <w:bodyDiv w:val="1"/>
      <w:marLeft w:val="0"/>
      <w:marRight w:val="0"/>
      <w:marTop w:val="0"/>
      <w:marBottom w:val="0"/>
      <w:divBdr>
        <w:top w:val="none" w:sz="0" w:space="0" w:color="auto"/>
        <w:left w:val="none" w:sz="0" w:space="0" w:color="auto"/>
        <w:bottom w:val="none" w:sz="0" w:space="0" w:color="auto"/>
        <w:right w:val="none" w:sz="0" w:space="0" w:color="auto"/>
      </w:divBdr>
      <w:divsChild>
        <w:div w:id="1573925540">
          <w:marLeft w:val="0"/>
          <w:marRight w:val="0"/>
          <w:marTop w:val="0"/>
          <w:marBottom w:val="0"/>
          <w:divBdr>
            <w:top w:val="none" w:sz="0" w:space="0" w:color="auto"/>
            <w:left w:val="none" w:sz="0" w:space="0" w:color="auto"/>
            <w:bottom w:val="none" w:sz="0" w:space="0" w:color="auto"/>
            <w:right w:val="none" w:sz="0" w:space="0" w:color="auto"/>
          </w:divBdr>
          <w:divsChild>
            <w:div w:id="1984502625">
              <w:marLeft w:val="0"/>
              <w:marRight w:val="0"/>
              <w:marTop w:val="0"/>
              <w:marBottom w:val="0"/>
              <w:divBdr>
                <w:top w:val="none" w:sz="0" w:space="0" w:color="auto"/>
                <w:left w:val="none" w:sz="0" w:space="0" w:color="auto"/>
                <w:bottom w:val="none" w:sz="0" w:space="0" w:color="auto"/>
                <w:right w:val="none" w:sz="0" w:space="0" w:color="auto"/>
              </w:divBdr>
              <w:divsChild>
                <w:div w:id="7873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1869">
      <w:bodyDiv w:val="1"/>
      <w:marLeft w:val="0"/>
      <w:marRight w:val="0"/>
      <w:marTop w:val="0"/>
      <w:marBottom w:val="0"/>
      <w:divBdr>
        <w:top w:val="none" w:sz="0" w:space="0" w:color="auto"/>
        <w:left w:val="none" w:sz="0" w:space="0" w:color="auto"/>
        <w:bottom w:val="none" w:sz="0" w:space="0" w:color="auto"/>
        <w:right w:val="none" w:sz="0" w:space="0" w:color="auto"/>
      </w:divBdr>
    </w:div>
    <w:div w:id="1259411057">
      <w:bodyDiv w:val="1"/>
      <w:marLeft w:val="0"/>
      <w:marRight w:val="0"/>
      <w:marTop w:val="0"/>
      <w:marBottom w:val="0"/>
      <w:divBdr>
        <w:top w:val="none" w:sz="0" w:space="0" w:color="auto"/>
        <w:left w:val="none" w:sz="0" w:space="0" w:color="auto"/>
        <w:bottom w:val="none" w:sz="0" w:space="0" w:color="auto"/>
        <w:right w:val="none" w:sz="0" w:space="0" w:color="auto"/>
      </w:divBdr>
      <w:divsChild>
        <w:div w:id="867909501">
          <w:marLeft w:val="0"/>
          <w:marRight w:val="0"/>
          <w:marTop w:val="0"/>
          <w:marBottom w:val="0"/>
          <w:divBdr>
            <w:top w:val="none" w:sz="0" w:space="0" w:color="auto"/>
            <w:left w:val="none" w:sz="0" w:space="0" w:color="auto"/>
            <w:bottom w:val="none" w:sz="0" w:space="0" w:color="auto"/>
            <w:right w:val="none" w:sz="0" w:space="0" w:color="auto"/>
          </w:divBdr>
          <w:divsChild>
            <w:div w:id="839540951">
              <w:marLeft w:val="0"/>
              <w:marRight w:val="0"/>
              <w:marTop w:val="0"/>
              <w:marBottom w:val="0"/>
              <w:divBdr>
                <w:top w:val="none" w:sz="0" w:space="0" w:color="auto"/>
                <w:left w:val="none" w:sz="0" w:space="0" w:color="auto"/>
                <w:bottom w:val="none" w:sz="0" w:space="0" w:color="auto"/>
                <w:right w:val="none" w:sz="0" w:space="0" w:color="auto"/>
              </w:divBdr>
              <w:divsChild>
                <w:div w:id="1134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3793">
      <w:bodyDiv w:val="1"/>
      <w:marLeft w:val="0"/>
      <w:marRight w:val="0"/>
      <w:marTop w:val="0"/>
      <w:marBottom w:val="0"/>
      <w:divBdr>
        <w:top w:val="none" w:sz="0" w:space="0" w:color="auto"/>
        <w:left w:val="none" w:sz="0" w:space="0" w:color="auto"/>
        <w:bottom w:val="none" w:sz="0" w:space="0" w:color="auto"/>
        <w:right w:val="none" w:sz="0" w:space="0" w:color="auto"/>
      </w:divBdr>
    </w:div>
    <w:div w:id="1322193590">
      <w:bodyDiv w:val="1"/>
      <w:marLeft w:val="0"/>
      <w:marRight w:val="0"/>
      <w:marTop w:val="0"/>
      <w:marBottom w:val="0"/>
      <w:divBdr>
        <w:top w:val="none" w:sz="0" w:space="0" w:color="auto"/>
        <w:left w:val="none" w:sz="0" w:space="0" w:color="auto"/>
        <w:bottom w:val="none" w:sz="0" w:space="0" w:color="auto"/>
        <w:right w:val="none" w:sz="0" w:space="0" w:color="auto"/>
      </w:divBdr>
      <w:divsChild>
        <w:div w:id="1878816488">
          <w:marLeft w:val="0"/>
          <w:marRight w:val="0"/>
          <w:marTop w:val="0"/>
          <w:marBottom w:val="0"/>
          <w:divBdr>
            <w:top w:val="none" w:sz="0" w:space="0" w:color="auto"/>
            <w:left w:val="none" w:sz="0" w:space="0" w:color="auto"/>
            <w:bottom w:val="none" w:sz="0" w:space="0" w:color="auto"/>
            <w:right w:val="none" w:sz="0" w:space="0" w:color="auto"/>
          </w:divBdr>
          <w:divsChild>
            <w:div w:id="1352410331">
              <w:marLeft w:val="0"/>
              <w:marRight w:val="0"/>
              <w:marTop w:val="0"/>
              <w:marBottom w:val="0"/>
              <w:divBdr>
                <w:top w:val="none" w:sz="0" w:space="0" w:color="auto"/>
                <w:left w:val="none" w:sz="0" w:space="0" w:color="auto"/>
                <w:bottom w:val="none" w:sz="0" w:space="0" w:color="auto"/>
                <w:right w:val="none" w:sz="0" w:space="0" w:color="auto"/>
              </w:divBdr>
              <w:divsChild>
                <w:div w:id="12937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6807">
      <w:bodyDiv w:val="1"/>
      <w:marLeft w:val="0"/>
      <w:marRight w:val="0"/>
      <w:marTop w:val="0"/>
      <w:marBottom w:val="0"/>
      <w:divBdr>
        <w:top w:val="none" w:sz="0" w:space="0" w:color="auto"/>
        <w:left w:val="none" w:sz="0" w:space="0" w:color="auto"/>
        <w:bottom w:val="none" w:sz="0" w:space="0" w:color="auto"/>
        <w:right w:val="none" w:sz="0" w:space="0" w:color="auto"/>
      </w:divBdr>
    </w:div>
    <w:div w:id="1368988554">
      <w:bodyDiv w:val="1"/>
      <w:marLeft w:val="0"/>
      <w:marRight w:val="0"/>
      <w:marTop w:val="0"/>
      <w:marBottom w:val="0"/>
      <w:divBdr>
        <w:top w:val="none" w:sz="0" w:space="0" w:color="auto"/>
        <w:left w:val="none" w:sz="0" w:space="0" w:color="auto"/>
        <w:bottom w:val="none" w:sz="0" w:space="0" w:color="auto"/>
        <w:right w:val="none" w:sz="0" w:space="0" w:color="auto"/>
      </w:divBdr>
      <w:divsChild>
        <w:div w:id="1138959344">
          <w:marLeft w:val="0"/>
          <w:marRight w:val="0"/>
          <w:marTop w:val="0"/>
          <w:marBottom w:val="0"/>
          <w:divBdr>
            <w:top w:val="none" w:sz="0" w:space="0" w:color="auto"/>
            <w:left w:val="none" w:sz="0" w:space="0" w:color="auto"/>
            <w:bottom w:val="none" w:sz="0" w:space="0" w:color="auto"/>
            <w:right w:val="none" w:sz="0" w:space="0" w:color="auto"/>
          </w:divBdr>
          <w:divsChild>
            <w:div w:id="1510488940">
              <w:marLeft w:val="0"/>
              <w:marRight w:val="0"/>
              <w:marTop w:val="0"/>
              <w:marBottom w:val="0"/>
              <w:divBdr>
                <w:top w:val="none" w:sz="0" w:space="0" w:color="auto"/>
                <w:left w:val="none" w:sz="0" w:space="0" w:color="auto"/>
                <w:bottom w:val="none" w:sz="0" w:space="0" w:color="auto"/>
                <w:right w:val="none" w:sz="0" w:space="0" w:color="auto"/>
              </w:divBdr>
              <w:divsChild>
                <w:div w:id="2985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9007">
      <w:bodyDiv w:val="1"/>
      <w:marLeft w:val="0"/>
      <w:marRight w:val="0"/>
      <w:marTop w:val="0"/>
      <w:marBottom w:val="0"/>
      <w:divBdr>
        <w:top w:val="none" w:sz="0" w:space="0" w:color="auto"/>
        <w:left w:val="none" w:sz="0" w:space="0" w:color="auto"/>
        <w:bottom w:val="none" w:sz="0" w:space="0" w:color="auto"/>
        <w:right w:val="none" w:sz="0" w:space="0" w:color="auto"/>
      </w:divBdr>
      <w:divsChild>
        <w:div w:id="1056775796">
          <w:marLeft w:val="0"/>
          <w:marRight w:val="0"/>
          <w:marTop w:val="0"/>
          <w:marBottom w:val="0"/>
          <w:divBdr>
            <w:top w:val="none" w:sz="0" w:space="0" w:color="auto"/>
            <w:left w:val="none" w:sz="0" w:space="0" w:color="auto"/>
            <w:bottom w:val="none" w:sz="0" w:space="0" w:color="auto"/>
            <w:right w:val="none" w:sz="0" w:space="0" w:color="auto"/>
          </w:divBdr>
          <w:divsChild>
            <w:div w:id="1181434149">
              <w:marLeft w:val="0"/>
              <w:marRight w:val="0"/>
              <w:marTop w:val="0"/>
              <w:marBottom w:val="0"/>
              <w:divBdr>
                <w:top w:val="none" w:sz="0" w:space="0" w:color="auto"/>
                <w:left w:val="none" w:sz="0" w:space="0" w:color="auto"/>
                <w:bottom w:val="none" w:sz="0" w:space="0" w:color="auto"/>
                <w:right w:val="none" w:sz="0" w:space="0" w:color="auto"/>
              </w:divBdr>
              <w:divsChild>
                <w:div w:id="2181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4347">
      <w:bodyDiv w:val="1"/>
      <w:marLeft w:val="0"/>
      <w:marRight w:val="0"/>
      <w:marTop w:val="0"/>
      <w:marBottom w:val="0"/>
      <w:divBdr>
        <w:top w:val="none" w:sz="0" w:space="0" w:color="auto"/>
        <w:left w:val="none" w:sz="0" w:space="0" w:color="auto"/>
        <w:bottom w:val="none" w:sz="0" w:space="0" w:color="auto"/>
        <w:right w:val="none" w:sz="0" w:space="0" w:color="auto"/>
      </w:divBdr>
    </w:div>
    <w:div w:id="1561817803">
      <w:bodyDiv w:val="1"/>
      <w:marLeft w:val="0"/>
      <w:marRight w:val="0"/>
      <w:marTop w:val="0"/>
      <w:marBottom w:val="0"/>
      <w:divBdr>
        <w:top w:val="none" w:sz="0" w:space="0" w:color="auto"/>
        <w:left w:val="none" w:sz="0" w:space="0" w:color="auto"/>
        <w:bottom w:val="none" w:sz="0" w:space="0" w:color="auto"/>
        <w:right w:val="none" w:sz="0" w:space="0" w:color="auto"/>
      </w:divBdr>
      <w:divsChild>
        <w:div w:id="823357600">
          <w:marLeft w:val="0"/>
          <w:marRight w:val="0"/>
          <w:marTop w:val="0"/>
          <w:marBottom w:val="0"/>
          <w:divBdr>
            <w:top w:val="none" w:sz="0" w:space="0" w:color="auto"/>
            <w:left w:val="none" w:sz="0" w:space="0" w:color="auto"/>
            <w:bottom w:val="none" w:sz="0" w:space="0" w:color="auto"/>
            <w:right w:val="none" w:sz="0" w:space="0" w:color="auto"/>
          </w:divBdr>
          <w:divsChild>
            <w:div w:id="134882972">
              <w:marLeft w:val="0"/>
              <w:marRight w:val="0"/>
              <w:marTop w:val="0"/>
              <w:marBottom w:val="0"/>
              <w:divBdr>
                <w:top w:val="none" w:sz="0" w:space="0" w:color="auto"/>
                <w:left w:val="none" w:sz="0" w:space="0" w:color="auto"/>
                <w:bottom w:val="none" w:sz="0" w:space="0" w:color="auto"/>
                <w:right w:val="none" w:sz="0" w:space="0" w:color="auto"/>
              </w:divBdr>
              <w:divsChild>
                <w:div w:id="957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7275">
      <w:bodyDiv w:val="1"/>
      <w:marLeft w:val="0"/>
      <w:marRight w:val="0"/>
      <w:marTop w:val="0"/>
      <w:marBottom w:val="0"/>
      <w:divBdr>
        <w:top w:val="none" w:sz="0" w:space="0" w:color="auto"/>
        <w:left w:val="none" w:sz="0" w:space="0" w:color="auto"/>
        <w:bottom w:val="none" w:sz="0" w:space="0" w:color="auto"/>
        <w:right w:val="none" w:sz="0" w:space="0" w:color="auto"/>
      </w:divBdr>
      <w:divsChild>
        <w:div w:id="555747237">
          <w:marLeft w:val="0"/>
          <w:marRight w:val="0"/>
          <w:marTop w:val="0"/>
          <w:marBottom w:val="0"/>
          <w:divBdr>
            <w:top w:val="none" w:sz="0" w:space="0" w:color="auto"/>
            <w:left w:val="none" w:sz="0" w:space="0" w:color="auto"/>
            <w:bottom w:val="none" w:sz="0" w:space="0" w:color="auto"/>
            <w:right w:val="none" w:sz="0" w:space="0" w:color="auto"/>
          </w:divBdr>
          <w:divsChild>
            <w:div w:id="2129814439">
              <w:marLeft w:val="0"/>
              <w:marRight w:val="0"/>
              <w:marTop w:val="0"/>
              <w:marBottom w:val="0"/>
              <w:divBdr>
                <w:top w:val="none" w:sz="0" w:space="0" w:color="auto"/>
                <w:left w:val="none" w:sz="0" w:space="0" w:color="auto"/>
                <w:bottom w:val="none" w:sz="0" w:space="0" w:color="auto"/>
                <w:right w:val="none" w:sz="0" w:space="0" w:color="auto"/>
              </w:divBdr>
              <w:divsChild>
                <w:div w:id="228728834">
                  <w:marLeft w:val="0"/>
                  <w:marRight w:val="0"/>
                  <w:marTop w:val="0"/>
                  <w:marBottom w:val="0"/>
                  <w:divBdr>
                    <w:top w:val="none" w:sz="0" w:space="0" w:color="auto"/>
                    <w:left w:val="none" w:sz="0" w:space="0" w:color="auto"/>
                    <w:bottom w:val="none" w:sz="0" w:space="0" w:color="auto"/>
                    <w:right w:val="none" w:sz="0" w:space="0" w:color="auto"/>
                  </w:divBdr>
                </w:div>
              </w:divsChild>
            </w:div>
            <w:div w:id="2015649509">
              <w:marLeft w:val="0"/>
              <w:marRight w:val="0"/>
              <w:marTop w:val="0"/>
              <w:marBottom w:val="0"/>
              <w:divBdr>
                <w:top w:val="none" w:sz="0" w:space="0" w:color="auto"/>
                <w:left w:val="none" w:sz="0" w:space="0" w:color="auto"/>
                <w:bottom w:val="none" w:sz="0" w:space="0" w:color="auto"/>
                <w:right w:val="none" w:sz="0" w:space="0" w:color="auto"/>
              </w:divBdr>
              <w:divsChild>
                <w:div w:id="6675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5308">
      <w:bodyDiv w:val="1"/>
      <w:marLeft w:val="0"/>
      <w:marRight w:val="0"/>
      <w:marTop w:val="0"/>
      <w:marBottom w:val="0"/>
      <w:divBdr>
        <w:top w:val="none" w:sz="0" w:space="0" w:color="auto"/>
        <w:left w:val="none" w:sz="0" w:space="0" w:color="auto"/>
        <w:bottom w:val="none" w:sz="0" w:space="0" w:color="auto"/>
        <w:right w:val="none" w:sz="0" w:space="0" w:color="auto"/>
      </w:divBdr>
    </w:div>
    <w:div w:id="1619871802">
      <w:bodyDiv w:val="1"/>
      <w:marLeft w:val="0"/>
      <w:marRight w:val="0"/>
      <w:marTop w:val="0"/>
      <w:marBottom w:val="0"/>
      <w:divBdr>
        <w:top w:val="none" w:sz="0" w:space="0" w:color="auto"/>
        <w:left w:val="none" w:sz="0" w:space="0" w:color="auto"/>
        <w:bottom w:val="none" w:sz="0" w:space="0" w:color="auto"/>
        <w:right w:val="none" w:sz="0" w:space="0" w:color="auto"/>
      </w:divBdr>
      <w:divsChild>
        <w:div w:id="904606923">
          <w:marLeft w:val="0"/>
          <w:marRight w:val="0"/>
          <w:marTop w:val="0"/>
          <w:marBottom w:val="0"/>
          <w:divBdr>
            <w:top w:val="none" w:sz="0" w:space="0" w:color="auto"/>
            <w:left w:val="none" w:sz="0" w:space="0" w:color="auto"/>
            <w:bottom w:val="none" w:sz="0" w:space="0" w:color="auto"/>
            <w:right w:val="none" w:sz="0" w:space="0" w:color="auto"/>
          </w:divBdr>
          <w:divsChild>
            <w:div w:id="50689264">
              <w:marLeft w:val="0"/>
              <w:marRight w:val="0"/>
              <w:marTop w:val="0"/>
              <w:marBottom w:val="0"/>
              <w:divBdr>
                <w:top w:val="none" w:sz="0" w:space="0" w:color="auto"/>
                <w:left w:val="none" w:sz="0" w:space="0" w:color="auto"/>
                <w:bottom w:val="none" w:sz="0" w:space="0" w:color="auto"/>
                <w:right w:val="none" w:sz="0" w:space="0" w:color="auto"/>
              </w:divBdr>
              <w:divsChild>
                <w:div w:id="11465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5885">
      <w:bodyDiv w:val="1"/>
      <w:marLeft w:val="0"/>
      <w:marRight w:val="0"/>
      <w:marTop w:val="0"/>
      <w:marBottom w:val="0"/>
      <w:divBdr>
        <w:top w:val="none" w:sz="0" w:space="0" w:color="auto"/>
        <w:left w:val="none" w:sz="0" w:space="0" w:color="auto"/>
        <w:bottom w:val="none" w:sz="0" w:space="0" w:color="auto"/>
        <w:right w:val="none" w:sz="0" w:space="0" w:color="auto"/>
      </w:divBdr>
      <w:divsChild>
        <w:div w:id="978925968">
          <w:marLeft w:val="0"/>
          <w:marRight w:val="0"/>
          <w:marTop w:val="0"/>
          <w:marBottom w:val="0"/>
          <w:divBdr>
            <w:top w:val="none" w:sz="0" w:space="0" w:color="auto"/>
            <w:left w:val="none" w:sz="0" w:space="0" w:color="auto"/>
            <w:bottom w:val="none" w:sz="0" w:space="0" w:color="auto"/>
            <w:right w:val="none" w:sz="0" w:space="0" w:color="auto"/>
          </w:divBdr>
          <w:divsChild>
            <w:div w:id="845440169">
              <w:marLeft w:val="0"/>
              <w:marRight w:val="0"/>
              <w:marTop w:val="0"/>
              <w:marBottom w:val="0"/>
              <w:divBdr>
                <w:top w:val="none" w:sz="0" w:space="0" w:color="auto"/>
                <w:left w:val="none" w:sz="0" w:space="0" w:color="auto"/>
                <w:bottom w:val="none" w:sz="0" w:space="0" w:color="auto"/>
                <w:right w:val="none" w:sz="0" w:space="0" w:color="auto"/>
              </w:divBdr>
              <w:divsChild>
                <w:div w:id="17949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5019">
      <w:bodyDiv w:val="1"/>
      <w:marLeft w:val="0"/>
      <w:marRight w:val="0"/>
      <w:marTop w:val="0"/>
      <w:marBottom w:val="0"/>
      <w:divBdr>
        <w:top w:val="none" w:sz="0" w:space="0" w:color="auto"/>
        <w:left w:val="none" w:sz="0" w:space="0" w:color="auto"/>
        <w:bottom w:val="none" w:sz="0" w:space="0" w:color="auto"/>
        <w:right w:val="none" w:sz="0" w:space="0" w:color="auto"/>
      </w:divBdr>
      <w:divsChild>
        <w:div w:id="143396517">
          <w:marLeft w:val="0"/>
          <w:marRight w:val="0"/>
          <w:marTop w:val="0"/>
          <w:marBottom w:val="0"/>
          <w:divBdr>
            <w:top w:val="none" w:sz="0" w:space="0" w:color="auto"/>
            <w:left w:val="none" w:sz="0" w:space="0" w:color="auto"/>
            <w:bottom w:val="none" w:sz="0" w:space="0" w:color="auto"/>
            <w:right w:val="none" w:sz="0" w:space="0" w:color="auto"/>
          </w:divBdr>
          <w:divsChild>
            <w:div w:id="1012995881">
              <w:marLeft w:val="0"/>
              <w:marRight w:val="0"/>
              <w:marTop w:val="0"/>
              <w:marBottom w:val="0"/>
              <w:divBdr>
                <w:top w:val="none" w:sz="0" w:space="0" w:color="auto"/>
                <w:left w:val="none" w:sz="0" w:space="0" w:color="auto"/>
                <w:bottom w:val="none" w:sz="0" w:space="0" w:color="auto"/>
                <w:right w:val="none" w:sz="0" w:space="0" w:color="auto"/>
              </w:divBdr>
              <w:divsChild>
                <w:div w:id="6782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813">
      <w:bodyDiv w:val="1"/>
      <w:marLeft w:val="0"/>
      <w:marRight w:val="0"/>
      <w:marTop w:val="0"/>
      <w:marBottom w:val="0"/>
      <w:divBdr>
        <w:top w:val="none" w:sz="0" w:space="0" w:color="auto"/>
        <w:left w:val="none" w:sz="0" w:space="0" w:color="auto"/>
        <w:bottom w:val="none" w:sz="0" w:space="0" w:color="auto"/>
        <w:right w:val="none" w:sz="0" w:space="0" w:color="auto"/>
      </w:divBdr>
      <w:divsChild>
        <w:div w:id="180824837">
          <w:marLeft w:val="0"/>
          <w:marRight w:val="0"/>
          <w:marTop w:val="0"/>
          <w:marBottom w:val="0"/>
          <w:divBdr>
            <w:top w:val="none" w:sz="0" w:space="0" w:color="auto"/>
            <w:left w:val="none" w:sz="0" w:space="0" w:color="auto"/>
            <w:bottom w:val="none" w:sz="0" w:space="0" w:color="auto"/>
            <w:right w:val="none" w:sz="0" w:space="0" w:color="auto"/>
          </w:divBdr>
          <w:divsChild>
            <w:div w:id="1907448215">
              <w:marLeft w:val="0"/>
              <w:marRight w:val="0"/>
              <w:marTop w:val="0"/>
              <w:marBottom w:val="0"/>
              <w:divBdr>
                <w:top w:val="none" w:sz="0" w:space="0" w:color="auto"/>
                <w:left w:val="none" w:sz="0" w:space="0" w:color="auto"/>
                <w:bottom w:val="none" w:sz="0" w:space="0" w:color="auto"/>
                <w:right w:val="none" w:sz="0" w:space="0" w:color="auto"/>
              </w:divBdr>
              <w:divsChild>
                <w:div w:id="2314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4384">
      <w:bodyDiv w:val="1"/>
      <w:marLeft w:val="0"/>
      <w:marRight w:val="0"/>
      <w:marTop w:val="0"/>
      <w:marBottom w:val="0"/>
      <w:divBdr>
        <w:top w:val="none" w:sz="0" w:space="0" w:color="auto"/>
        <w:left w:val="none" w:sz="0" w:space="0" w:color="auto"/>
        <w:bottom w:val="none" w:sz="0" w:space="0" w:color="auto"/>
        <w:right w:val="none" w:sz="0" w:space="0" w:color="auto"/>
      </w:divBdr>
    </w:div>
    <w:div w:id="1722753760">
      <w:bodyDiv w:val="1"/>
      <w:marLeft w:val="0"/>
      <w:marRight w:val="0"/>
      <w:marTop w:val="0"/>
      <w:marBottom w:val="0"/>
      <w:divBdr>
        <w:top w:val="none" w:sz="0" w:space="0" w:color="auto"/>
        <w:left w:val="none" w:sz="0" w:space="0" w:color="auto"/>
        <w:bottom w:val="none" w:sz="0" w:space="0" w:color="auto"/>
        <w:right w:val="none" w:sz="0" w:space="0" w:color="auto"/>
      </w:divBdr>
      <w:divsChild>
        <w:div w:id="259917981">
          <w:marLeft w:val="0"/>
          <w:marRight w:val="0"/>
          <w:marTop w:val="0"/>
          <w:marBottom w:val="0"/>
          <w:divBdr>
            <w:top w:val="none" w:sz="0" w:space="0" w:color="auto"/>
            <w:left w:val="none" w:sz="0" w:space="0" w:color="auto"/>
            <w:bottom w:val="none" w:sz="0" w:space="0" w:color="auto"/>
            <w:right w:val="none" w:sz="0" w:space="0" w:color="auto"/>
          </w:divBdr>
          <w:divsChild>
            <w:div w:id="175199325">
              <w:marLeft w:val="0"/>
              <w:marRight w:val="0"/>
              <w:marTop w:val="0"/>
              <w:marBottom w:val="0"/>
              <w:divBdr>
                <w:top w:val="none" w:sz="0" w:space="0" w:color="auto"/>
                <w:left w:val="none" w:sz="0" w:space="0" w:color="auto"/>
                <w:bottom w:val="none" w:sz="0" w:space="0" w:color="auto"/>
                <w:right w:val="none" w:sz="0" w:space="0" w:color="auto"/>
              </w:divBdr>
              <w:divsChild>
                <w:div w:id="1222405465">
                  <w:marLeft w:val="0"/>
                  <w:marRight w:val="0"/>
                  <w:marTop w:val="0"/>
                  <w:marBottom w:val="0"/>
                  <w:divBdr>
                    <w:top w:val="none" w:sz="0" w:space="0" w:color="auto"/>
                    <w:left w:val="none" w:sz="0" w:space="0" w:color="auto"/>
                    <w:bottom w:val="none" w:sz="0" w:space="0" w:color="auto"/>
                    <w:right w:val="none" w:sz="0" w:space="0" w:color="auto"/>
                  </w:divBdr>
                </w:div>
              </w:divsChild>
            </w:div>
            <w:div w:id="1047027535">
              <w:marLeft w:val="0"/>
              <w:marRight w:val="0"/>
              <w:marTop w:val="0"/>
              <w:marBottom w:val="0"/>
              <w:divBdr>
                <w:top w:val="none" w:sz="0" w:space="0" w:color="auto"/>
                <w:left w:val="none" w:sz="0" w:space="0" w:color="auto"/>
                <w:bottom w:val="none" w:sz="0" w:space="0" w:color="auto"/>
                <w:right w:val="none" w:sz="0" w:space="0" w:color="auto"/>
              </w:divBdr>
              <w:divsChild>
                <w:div w:id="1921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5615">
          <w:marLeft w:val="0"/>
          <w:marRight w:val="0"/>
          <w:marTop w:val="0"/>
          <w:marBottom w:val="0"/>
          <w:divBdr>
            <w:top w:val="none" w:sz="0" w:space="0" w:color="auto"/>
            <w:left w:val="none" w:sz="0" w:space="0" w:color="auto"/>
            <w:bottom w:val="none" w:sz="0" w:space="0" w:color="auto"/>
            <w:right w:val="none" w:sz="0" w:space="0" w:color="auto"/>
          </w:divBdr>
          <w:divsChild>
            <w:div w:id="1506363910">
              <w:marLeft w:val="0"/>
              <w:marRight w:val="0"/>
              <w:marTop w:val="0"/>
              <w:marBottom w:val="0"/>
              <w:divBdr>
                <w:top w:val="none" w:sz="0" w:space="0" w:color="auto"/>
                <w:left w:val="none" w:sz="0" w:space="0" w:color="auto"/>
                <w:bottom w:val="none" w:sz="0" w:space="0" w:color="auto"/>
                <w:right w:val="none" w:sz="0" w:space="0" w:color="auto"/>
              </w:divBdr>
              <w:divsChild>
                <w:div w:id="1426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361">
      <w:bodyDiv w:val="1"/>
      <w:marLeft w:val="0"/>
      <w:marRight w:val="0"/>
      <w:marTop w:val="0"/>
      <w:marBottom w:val="0"/>
      <w:divBdr>
        <w:top w:val="none" w:sz="0" w:space="0" w:color="auto"/>
        <w:left w:val="none" w:sz="0" w:space="0" w:color="auto"/>
        <w:bottom w:val="none" w:sz="0" w:space="0" w:color="auto"/>
        <w:right w:val="none" w:sz="0" w:space="0" w:color="auto"/>
      </w:divBdr>
      <w:divsChild>
        <w:div w:id="737629766">
          <w:marLeft w:val="0"/>
          <w:marRight w:val="0"/>
          <w:marTop w:val="0"/>
          <w:marBottom w:val="0"/>
          <w:divBdr>
            <w:top w:val="none" w:sz="0" w:space="0" w:color="auto"/>
            <w:left w:val="none" w:sz="0" w:space="0" w:color="auto"/>
            <w:bottom w:val="none" w:sz="0" w:space="0" w:color="auto"/>
            <w:right w:val="none" w:sz="0" w:space="0" w:color="auto"/>
          </w:divBdr>
          <w:divsChild>
            <w:div w:id="115292629">
              <w:marLeft w:val="0"/>
              <w:marRight w:val="0"/>
              <w:marTop w:val="0"/>
              <w:marBottom w:val="0"/>
              <w:divBdr>
                <w:top w:val="none" w:sz="0" w:space="0" w:color="auto"/>
                <w:left w:val="none" w:sz="0" w:space="0" w:color="auto"/>
                <w:bottom w:val="none" w:sz="0" w:space="0" w:color="auto"/>
                <w:right w:val="none" w:sz="0" w:space="0" w:color="auto"/>
              </w:divBdr>
              <w:divsChild>
                <w:div w:id="2061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5666">
      <w:bodyDiv w:val="1"/>
      <w:marLeft w:val="0"/>
      <w:marRight w:val="0"/>
      <w:marTop w:val="0"/>
      <w:marBottom w:val="0"/>
      <w:divBdr>
        <w:top w:val="none" w:sz="0" w:space="0" w:color="auto"/>
        <w:left w:val="none" w:sz="0" w:space="0" w:color="auto"/>
        <w:bottom w:val="none" w:sz="0" w:space="0" w:color="auto"/>
        <w:right w:val="none" w:sz="0" w:space="0" w:color="auto"/>
      </w:divBdr>
      <w:divsChild>
        <w:div w:id="1510485755">
          <w:marLeft w:val="0"/>
          <w:marRight w:val="0"/>
          <w:marTop w:val="0"/>
          <w:marBottom w:val="0"/>
          <w:divBdr>
            <w:top w:val="none" w:sz="0" w:space="0" w:color="auto"/>
            <w:left w:val="none" w:sz="0" w:space="0" w:color="auto"/>
            <w:bottom w:val="none" w:sz="0" w:space="0" w:color="auto"/>
            <w:right w:val="none" w:sz="0" w:space="0" w:color="auto"/>
          </w:divBdr>
          <w:divsChild>
            <w:div w:id="1095252802">
              <w:marLeft w:val="0"/>
              <w:marRight w:val="0"/>
              <w:marTop w:val="0"/>
              <w:marBottom w:val="0"/>
              <w:divBdr>
                <w:top w:val="none" w:sz="0" w:space="0" w:color="auto"/>
                <w:left w:val="none" w:sz="0" w:space="0" w:color="auto"/>
                <w:bottom w:val="none" w:sz="0" w:space="0" w:color="auto"/>
                <w:right w:val="none" w:sz="0" w:space="0" w:color="auto"/>
              </w:divBdr>
              <w:divsChild>
                <w:div w:id="2836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3271">
      <w:bodyDiv w:val="1"/>
      <w:marLeft w:val="0"/>
      <w:marRight w:val="0"/>
      <w:marTop w:val="0"/>
      <w:marBottom w:val="0"/>
      <w:divBdr>
        <w:top w:val="none" w:sz="0" w:space="0" w:color="auto"/>
        <w:left w:val="none" w:sz="0" w:space="0" w:color="auto"/>
        <w:bottom w:val="none" w:sz="0" w:space="0" w:color="auto"/>
        <w:right w:val="none" w:sz="0" w:space="0" w:color="auto"/>
      </w:divBdr>
      <w:divsChild>
        <w:div w:id="422336828">
          <w:marLeft w:val="0"/>
          <w:marRight w:val="0"/>
          <w:marTop w:val="0"/>
          <w:marBottom w:val="0"/>
          <w:divBdr>
            <w:top w:val="none" w:sz="0" w:space="0" w:color="auto"/>
            <w:left w:val="none" w:sz="0" w:space="0" w:color="auto"/>
            <w:bottom w:val="none" w:sz="0" w:space="0" w:color="auto"/>
            <w:right w:val="none" w:sz="0" w:space="0" w:color="auto"/>
          </w:divBdr>
          <w:divsChild>
            <w:div w:id="357970468">
              <w:marLeft w:val="0"/>
              <w:marRight w:val="0"/>
              <w:marTop w:val="0"/>
              <w:marBottom w:val="0"/>
              <w:divBdr>
                <w:top w:val="none" w:sz="0" w:space="0" w:color="auto"/>
                <w:left w:val="none" w:sz="0" w:space="0" w:color="auto"/>
                <w:bottom w:val="none" w:sz="0" w:space="0" w:color="auto"/>
                <w:right w:val="none" w:sz="0" w:space="0" w:color="auto"/>
              </w:divBdr>
              <w:divsChild>
                <w:div w:id="16502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4792">
      <w:bodyDiv w:val="1"/>
      <w:marLeft w:val="0"/>
      <w:marRight w:val="0"/>
      <w:marTop w:val="0"/>
      <w:marBottom w:val="0"/>
      <w:divBdr>
        <w:top w:val="none" w:sz="0" w:space="0" w:color="auto"/>
        <w:left w:val="none" w:sz="0" w:space="0" w:color="auto"/>
        <w:bottom w:val="none" w:sz="0" w:space="0" w:color="auto"/>
        <w:right w:val="none" w:sz="0" w:space="0" w:color="auto"/>
      </w:divBdr>
    </w:div>
    <w:div w:id="2003778030">
      <w:bodyDiv w:val="1"/>
      <w:marLeft w:val="0"/>
      <w:marRight w:val="0"/>
      <w:marTop w:val="0"/>
      <w:marBottom w:val="0"/>
      <w:divBdr>
        <w:top w:val="none" w:sz="0" w:space="0" w:color="auto"/>
        <w:left w:val="none" w:sz="0" w:space="0" w:color="auto"/>
        <w:bottom w:val="none" w:sz="0" w:space="0" w:color="auto"/>
        <w:right w:val="none" w:sz="0" w:space="0" w:color="auto"/>
      </w:divBdr>
    </w:div>
    <w:div w:id="2020043248">
      <w:bodyDiv w:val="1"/>
      <w:marLeft w:val="0"/>
      <w:marRight w:val="0"/>
      <w:marTop w:val="0"/>
      <w:marBottom w:val="0"/>
      <w:divBdr>
        <w:top w:val="none" w:sz="0" w:space="0" w:color="auto"/>
        <w:left w:val="none" w:sz="0" w:space="0" w:color="auto"/>
        <w:bottom w:val="none" w:sz="0" w:space="0" w:color="auto"/>
        <w:right w:val="none" w:sz="0" w:space="0" w:color="auto"/>
      </w:divBdr>
    </w:div>
    <w:div w:id="2063405462">
      <w:bodyDiv w:val="1"/>
      <w:marLeft w:val="0"/>
      <w:marRight w:val="0"/>
      <w:marTop w:val="0"/>
      <w:marBottom w:val="0"/>
      <w:divBdr>
        <w:top w:val="none" w:sz="0" w:space="0" w:color="auto"/>
        <w:left w:val="none" w:sz="0" w:space="0" w:color="auto"/>
        <w:bottom w:val="none" w:sz="0" w:space="0" w:color="auto"/>
        <w:right w:val="none" w:sz="0" w:space="0" w:color="auto"/>
      </w:divBdr>
    </w:div>
    <w:div w:id="2116056768">
      <w:bodyDiv w:val="1"/>
      <w:marLeft w:val="0"/>
      <w:marRight w:val="0"/>
      <w:marTop w:val="0"/>
      <w:marBottom w:val="0"/>
      <w:divBdr>
        <w:top w:val="none" w:sz="0" w:space="0" w:color="auto"/>
        <w:left w:val="none" w:sz="0" w:space="0" w:color="auto"/>
        <w:bottom w:val="none" w:sz="0" w:space="0" w:color="auto"/>
        <w:right w:val="none" w:sz="0" w:space="0" w:color="auto"/>
      </w:divBdr>
      <w:divsChild>
        <w:div w:id="1656957807">
          <w:marLeft w:val="720"/>
          <w:marRight w:val="0"/>
          <w:marTop w:val="0"/>
          <w:marBottom w:val="0"/>
          <w:divBdr>
            <w:top w:val="none" w:sz="0" w:space="0" w:color="auto"/>
            <w:left w:val="none" w:sz="0" w:space="0" w:color="auto"/>
            <w:bottom w:val="none" w:sz="0" w:space="0" w:color="auto"/>
            <w:right w:val="none" w:sz="0" w:space="0" w:color="auto"/>
          </w:divBdr>
        </w:div>
        <w:div w:id="1981769472">
          <w:marLeft w:val="720"/>
          <w:marRight w:val="0"/>
          <w:marTop w:val="0"/>
          <w:marBottom w:val="0"/>
          <w:divBdr>
            <w:top w:val="none" w:sz="0" w:space="0" w:color="auto"/>
            <w:left w:val="none" w:sz="0" w:space="0" w:color="auto"/>
            <w:bottom w:val="none" w:sz="0" w:space="0" w:color="auto"/>
            <w:right w:val="none" w:sz="0" w:space="0" w:color="auto"/>
          </w:divBdr>
        </w:div>
        <w:div w:id="1953440576">
          <w:marLeft w:val="720"/>
          <w:marRight w:val="0"/>
          <w:marTop w:val="0"/>
          <w:marBottom w:val="0"/>
          <w:divBdr>
            <w:top w:val="none" w:sz="0" w:space="0" w:color="auto"/>
            <w:left w:val="none" w:sz="0" w:space="0" w:color="auto"/>
            <w:bottom w:val="none" w:sz="0" w:space="0" w:color="auto"/>
            <w:right w:val="none" w:sz="0" w:space="0" w:color="auto"/>
          </w:divBdr>
        </w:div>
        <w:div w:id="746808508">
          <w:marLeft w:val="720"/>
          <w:marRight w:val="0"/>
          <w:marTop w:val="0"/>
          <w:marBottom w:val="0"/>
          <w:divBdr>
            <w:top w:val="none" w:sz="0" w:space="0" w:color="auto"/>
            <w:left w:val="none" w:sz="0" w:space="0" w:color="auto"/>
            <w:bottom w:val="none" w:sz="0" w:space="0" w:color="auto"/>
            <w:right w:val="none" w:sz="0" w:space="0" w:color="auto"/>
          </w:divBdr>
        </w:div>
        <w:div w:id="266617266">
          <w:marLeft w:val="720"/>
          <w:marRight w:val="0"/>
          <w:marTop w:val="0"/>
          <w:marBottom w:val="0"/>
          <w:divBdr>
            <w:top w:val="none" w:sz="0" w:space="0" w:color="auto"/>
            <w:left w:val="none" w:sz="0" w:space="0" w:color="auto"/>
            <w:bottom w:val="none" w:sz="0" w:space="0" w:color="auto"/>
            <w:right w:val="none" w:sz="0" w:space="0" w:color="auto"/>
          </w:divBdr>
        </w:div>
        <w:div w:id="52252213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ngleck@il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ilo.org"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hongleck@ilo.org" TargetMode="External"/><Relationship Id="rId4" Type="http://schemas.openxmlformats.org/officeDocument/2006/relationships/settings" Target="settings.xml"/><Relationship Id="rId9" Type="http://schemas.openxmlformats.org/officeDocument/2006/relationships/hyperlink" Target="mailto:del@il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2FEE-5225-D447-AFC7-0BC8CC60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Brimblecombe</dc:creator>
  <cp:keywords/>
  <dc:description/>
  <cp:lastModifiedBy>DE, Loveleen</cp:lastModifiedBy>
  <cp:revision>10</cp:revision>
  <cp:lastPrinted>2022-06-13T05:32:00Z</cp:lastPrinted>
  <dcterms:created xsi:type="dcterms:W3CDTF">2024-07-31T04:21:00Z</dcterms:created>
  <dcterms:modified xsi:type="dcterms:W3CDTF">2024-08-03T06:40:00Z</dcterms:modified>
</cp:coreProperties>
</file>